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PRATEEK KUMAR SACHAN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Prateek Kumar Sachan is an experienced Quality Control Inspector and Senior Project Consultant with more than 12 years of experience in global inspection, expediting, auditing, and quality control across oil &amp; gas, power infrastructure, and industrial manufacturing. He has supported clients including TÜV, Bureau Veritas, and Schneider Electric, conducting NDT, PMI/XRF material verification, welding inspections, FAT, pre-FAT, and shipment inspections. His work covers critical equipment such as valves, heat exchangers, pressure vessels, switchgear, UPS systems, circuit breakers, flowmeters, turbines, and compressors, with inspection activities aligned to API, ASME, and ISO requirements. He has validated nuclear valves and precision flow systems, resolved technical nonconformities, and coordinated vendors, documentation, recovery plans, and shipment priorities to mitigate project and supply-chain risks.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Master of Science in Logistics &amp; Supply Chain Management (Neoma Business School, France)</w:t>
      </w:r>
    </w:p>
    <w:p>
      <w:pPr>
        <w:pStyle w:val="ListBullet"/>
        <w:spacing w:before="0" w:after="0"/>
        <w:ind w:left="720" w:hanging="360"/>
        <w:jc w:val="both"/>
      </w:pPr>
      <w:r>
        <w:rPr>
          <w:rFonts w:ascii="Arial" w:hAnsi="Arial"/>
          <w:b w:val="0"/>
          <w:sz w:val="22"/>
        </w:rPr>
        <w:t>Bachelor of Science in Mechanical Engineering (Himachal Pradesh University, Shimla, India)</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 II, V, VIII &amp; IX</w:t>
      </w:r>
    </w:p>
    <w:p>
      <w:pPr>
        <w:pStyle w:val="ListBullet"/>
        <w:spacing w:before="0" w:after="0"/>
        <w:ind w:left="720" w:hanging="360"/>
        <w:jc w:val="both"/>
      </w:pPr>
      <w:r>
        <w:rPr>
          <w:rFonts w:ascii="Arial" w:hAnsi="Arial"/>
          <w:b w:val="0"/>
          <w:sz w:val="22"/>
        </w:rPr>
        <w:t>API 510</w:t>
      </w:r>
    </w:p>
    <w:p>
      <w:pPr>
        <w:pStyle w:val="ListBullet"/>
        <w:spacing w:before="0" w:after="0"/>
        <w:ind w:left="720" w:hanging="360"/>
        <w:jc w:val="both"/>
      </w:pPr>
      <w:r>
        <w:rPr>
          <w:rFonts w:ascii="Arial" w:hAnsi="Arial"/>
          <w:b w:val="0"/>
          <w:sz w:val="22"/>
        </w:rPr>
        <w:t>ASTM SEC II.</w:t>
      </w:r>
    </w:p>
    <w:p>
      <w:pPr>
        <w:pStyle w:val="ListBullet"/>
        <w:spacing w:before="0" w:after="0"/>
        <w:ind w:left="720" w:hanging="360"/>
        <w:jc w:val="both"/>
      </w:pPr>
      <w:r>
        <w:rPr>
          <w:rFonts w:ascii="Arial" w:hAnsi="Arial"/>
          <w:b w:val="0"/>
          <w:sz w:val="22"/>
        </w:rPr>
        <w:t>EN10025</w:t>
      </w:r>
    </w:p>
    <w:p>
      <w:pPr>
        <w:pStyle w:val="ListBullet"/>
        <w:spacing w:before="0" w:after="0"/>
        <w:ind w:left="720" w:hanging="360"/>
        <w:jc w:val="both"/>
      </w:pPr>
      <w:r>
        <w:rPr>
          <w:rFonts w:ascii="Arial" w:hAnsi="Arial"/>
          <w:b w:val="0"/>
          <w:sz w:val="22"/>
        </w:rPr>
        <w:t>NACE: MR 0175</w:t>
      </w:r>
    </w:p>
    <w:p>
      <w:pPr>
        <w:pStyle w:val="ListBullet"/>
        <w:spacing w:before="0" w:after="0"/>
        <w:ind w:left="720" w:hanging="360"/>
        <w:jc w:val="both"/>
      </w:pPr>
      <w:r>
        <w:rPr>
          <w:rFonts w:ascii="Arial" w:hAnsi="Arial"/>
          <w:b w:val="0"/>
          <w:sz w:val="22"/>
        </w:rPr>
        <w:t>AWS D 1.1</w:t>
      </w:r>
    </w:p>
    <w:p>
      <w:pPr>
        <w:pStyle w:val="ListBullet"/>
        <w:spacing w:before="0" w:after="0"/>
        <w:ind w:left="720" w:hanging="360"/>
        <w:jc w:val="both"/>
      </w:pPr>
      <w:r>
        <w:rPr>
          <w:rFonts w:ascii="Arial" w:hAnsi="Arial"/>
          <w:b w:val="0"/>
          <w:sz w:val="22"/>
        </w:rPr>
        <w:t>API 6D</w:t>
      </w:r>
    </w:p>
    <w:p>
      <w:pPr>
        <w:pStyle w:val="ListBullet"/>
        <w:spacing w:before="0" w:after="0"/>
        <w:ind w:left="720" w:hanging="360"/>
        <w:jc w:val="both"/>
      </w:pPr>
      <w:r>
        <w:rPr>
          <w:rFonts w:ascii="Arial" w:hAnsi="Arial"/>
          <w:b w:val="0"/>
          <w:sz w:val="22"/>
        </w:rPr>
        <w:t>ANSI Series</w:t>
      </w:r>
    </w:p>
    <w:p>
      <w:pPr>
        <w:pStyle w:val="ListBullet"/>
        <w:spacing w:before="0" w:after="0"/>
        <w:ind w:left="720" w:hanging="360"/>
        <w:jc w:val="both"/>
      </w:pPr>
      <w:r>
        <w:rPr>
          <w:rFonts w:ascii="Arial" w:hAnsi="Arial"/>
          <w:b w:val="0"/>
          <w:sz w:val="22"/>
        </w:rPr>
        <w:t>EN10204</w:t>
      </w:r>
    </w:p>
    <w:p>
      <w:pPr>
        <w:pStyle w:val="ListBullet"/>
        <w:spacing w:before="0" w:after="0"/>
        <w:ind w:left="720" w:hanging="360"/>
        <w:jc w:val="both"/>
      </w:pPr>
      <w:r>
        <w:rPr>
          <w:rFonts w:ascii="Arial" w:hAnsi="Arial"/>
          <w:b w:val="0"/>
          <w:sz w:val="22"/>
        </w:rPr>
        <w:t>NACE: MR 0103</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API 6A</w:t>
      </w:r>
    </w:p>
    <w:p>
      <w:pPr>
        <w:pStyle w:val="ListBullet"/>
        <w:spacing w:before="0" w:after="0"/>
        <w:ind w:left="720" w:hanging="360"/>
        <w:jc w:val="both"/>
      </w:pPr>
      <w:r>
        <w:rPr>
          <w:rFonts w:ascii="Arial" w:hAnsi="Arial"/>
          <w:b w:val="0"/>
          <w:sz w:val="22"/>
        </w:rPr>
        <w:t>ISO 3744</w:t>
      </w:r>
    </w:p>
    <w:p>
      <w:pPr>
        <w:pStyle w:val="ListBullet"/>
        <w:spacing w:before="0" w:after="0"/>
        <w:ind w:left="720" w:hanging="360"/>
        <w:jc w:val="both"/>
      </w:pPr>
      <w:r>
        <w:rPr>
          <w:rFonts w:ascii="Arial" w:hAnsi="Arial"/>
          <w:b w:val="0"/>
          <w:sz w:val="22"/>
        </w:rPr>
        <w:t>NACE: RP 0188</w:t>
      </w:r>
    </w:p>
    <w:p>
      <w:pPr>
        <w:pStyle w:val="ListBullet"/>
        <w:spacing w:before="0" w:after="0"/>
        <w:ind w:left="720" w:hanging="360"/>
        <w:jc w:val="both"/>
      </w:pPr>
      <w:r>
        <w:rPr>
          <w:rFonts w:ascii="Arial" w:hAnsi="Arial"/>
          <w:b w:val="0"/>
          <w:sz w:val="22"/>
        </w:rPr>
        <w:t>ASME B16.5</w:t>
      </w:r>
    </w:p>
    <w:p>
      <w:pPr>
        <w:pStyle w:val="ListBullet"/>
        <w:spacing w:before="0" w:after="0"/>
        <w:ind w:left="720" w:hanging="360"/>
        <w:jc w:val="both"/>
      </w:pPr>
      <w:r>
        <w:rPr>
          <w:rFonts w:ascii="Arial" w:hAnsi="Arial"/>
          <w:b w:val="0"/>
          <w:sz w:val="22"/>
        </w:rPr>
        <w:t>API 5L</w:t>
      </w:r>
    </w:p>
    <w:p>
      <w:pPr>
        <w:pStyle w:val="ListBullet"/>
        <w:spacing w:before="0" w:after="0"/>
        <w:ind w:left="720" w:hanging="360"/>
        <w:jc w:val="both"/>
      </w:pPr>
      <w:r>
        <w:rPr>
          <w:rFonts w:ascii="Arial" w:hAnsi="Arial"/>
          <w:b w:val="0"/>
          <w:sz w:val="22"/>
        </w:rPr>
        <w:t>ISO 8501</w:t>
      </w:r>
    </w:p>
    <w:p>
      <w:pPr>
        <w:pStyle w:val="ListBullet"/>
        <w:spacing w:before="0" w:after="0"/>
        <w:ind w:left="720" w:hanging="360"/>
        <w:jc w:val="both"/>
      </w:pPr>
      <w:r>
        <w:rPr>
          <w:rFonts w:ascii="Arial" w:hAnsi="Arial"/>
          <w:b w:val="0"/>
          <w:sz w:val="22"/>
        </w:rPr>
        <w:t>Shell Specifications (MSS – SP series)</w:t>
      </w:r>
    </w:p>
    <w:p>
      <w:pPr>
        <w:pStyle w:val="ListBullet"/>
        <w:spacing w:before="0" w:after="0"/>
        <w:ind w:left="720" w:hanging="360"/>
        <w:jc w:val="both"/>
      </w:pPr>
      <w:r>
        <w:rPr>
          <w:rFonts w:ascii="Arial" w:hAnsi="Arial"/>
          <w:b w:val="0"/>
          <w:sz w:val="22"/>
        </w:rPr>
        <w:t>ASME B16.10</w:t>
      </w:r>
    </w:p>
    <w:p>
      <w:pPr>
        <w:pStyle w:val="ListBullet"/>
        <w:spacing w:before="0" w:after="0"/>
        <w:ind w:left="720" w:hanging="360"/>
        <w:jc w:val="both"/>
      </w:pPr>
      <w:r>
        <w:rPr>
          <w:rFonts w:ascii="Arial" w:hAnsi="Arial"/>
          <w:b w:val="0"/>
          <w:sz w:val="22"/>
        </w:rPr>
        <w:t>API 534</w:t>
      </w:r>
    </w:p>
    <w:p>
      <w:pPr>
        <w:pStyle w:val="ListBullet"/>
        <w:spacing w:before="0" w:after="0"/>
        <w:ind w:left="720" w:hanging="360"/>
        <w:jc w:val="both"/>
      </w:pPr>
      <w:r>
        <w:rPr>
          <w:rFonts w:ascii="Arial" w:hAnsi="Arial"/>
          <w:b w:val="0"/>
          <w:sz w:val="22"/>
        </w:rPr>
        <w:t>ISO 15609</w:t>
      </w:r>
    </w:p>
    <w:p>
      <w:pPr>
        <w:pStyle w:val="ListBullet"/>
        <w:spacing w:before="0" w:after="0"/>
        <w:ind w:left="720" w:hanging="360"/>
        <w:jc w:val="both"/>
      </w:pPr>
      <w:r>
        <w:rPr>
          <w:rFonts w:ascii="Arial" w:hAnsi="Arial"/>
          <w:b w:val="0"/>
          <w:sz w:val="22"/>
        </w:rPr>
        <w:t>ISO 12944</w:t>
      </w:r>
    </w:p>
    <w:p>
      <w:pPr>
        <w:pStyle w:val="ListBullet"/>
        <w:spacing w:before="0" w:after="0"/>
        <w:ind w:left="720" w:hanging="360"/>
        <w:jc w:val="both"/>
      </w:pPr>
      <w:r>
        <w:rPr>
          <w:rFonts w:ascii="Arial" w:hAnsi="Arial"/>
          <w:b w:val="0"/>
          <w:sz w:val="22"/>
        </w:rPr>
        <w:t>ASME B16.11</w:t>
      </w:r>
    </w:p>
    <w:p>
      <w:pPr>
        <w:pStyle w:val="ListBullet"/>
        <w:spacing w:before="0" w:after="0"/>
        <w:ind w:left="720" w:hanging="360"/>
        <w:jc w:val="both"/>
      </w:pPr>
      <w:r>
        <w:rPr>
          <w:rFonts w:ascii="Arial" w:hAnsi="Arial"/>
          <w:b w:val="0"/>
          <w:sz w:val="22"/>
        </w:rPr>
        <w:t>API 572</w:t>
      </w:r>
    </w:p>
    <w:p>
      <w:pPr>
        <w:pStyle w:val="ListBullet"/>
        <w:spacing w:before="0" w:after="0"/>
        <w:ind w:left="720" w:hanging="360"/>
        <w:jc w:val="both"/>
      </w:pPr>
      <w:r>
        <w:rPr>
          <w:rFonts w:ascii="Arial" w:hAnsi="Arial"/>
          <w:b w:val="0"/>
          <w:sz w:val="22"/>
        </w:rPr>
        <w:t>ISO 15614</w:t>
      </w:r>
    </w:p>
    <w:p>
      <w:pPr>
        <w:pStyle w:val="ListBullet"/>
        <w:spacing w:before="0" w:after="0"/>
        <w:ind w:left="720" w:hanging="360"/>
        <w:jc w:val="both"/>
      </w:pPr>
      <w:r>
        <w:rPr>
          <w:rFonts w:ascii="Arial" w:hAnsi="Arial"/>
          <w:b w:val="0"/>
          <w:sz w:val="22"/>
        </w:rPr>
        <w:t>DIN EN ISO 5199</w:t>
      </w:r>
    </w:p>
    <w:p>
      <w:pPr>
        <w:pStyle w:val="ListBullet"/>
        <w:spacing w:before="0" w:after="0"/>
        <w:ind w:left="720" w:hanging="360"/>
        <w:jc w:val="both"/>
      </w:pPr>
      <w:r>
        <w:rPr>
          <w:rFonts w:ascii="Arial" w:hAnsi="Arial"/>
          <w:b w:val="0"/>
          <w:sz w:val="22"/>
        </w:rPr>
        <w:t>ASME B16.25</w:t>
      </w:r>
    </w:p>
    <w:p>
      <w:pPr>
        <w:pStyle w:val="ListBullet"/>
        <w:spacing w:before="0" w:after="0"/>
        <w:ind w:left="720" w:hanging="360"/>
        <w:jc w:val="both"/>
      </w:pPr>
      <w:r>
        <w:rPr>
          <w:rFonts w:ascii="Arial" w:hAnsi="Arial"/>
          <w:b w:val="0"/>
          <w:sz w:val="22"/>
        </w:rPr>
        <w:t>API 573</w:t>
      </w:r>
    </w:p>
    <w:p>
      <w:pPr>
        <w:pStyle w:val="ListBullet"/>
        <w:spacing w:before="0" w:after="0"/>
        <w:ind w:left="720" w:hanging="360"/>
        <w:jc w:val="both"/>
      </w:pPr>
      <w:r>
        <w:rPr>
          <w:rFonts w:ascii="Arial" w:hAnsi="Arial"/>
          <w:b w:val="0"/>
          <w:sz w:val="22"/>
        </w:rPr>
        <w:t>BS 5500</w:t>
      </w:r>
    </w:p>
    <w:p>
      <w:pPr>
        <w:pStyle w:val="ListBullet"/>
        <w:spacing w:before="0" w:after="0"/>
        <w:ind w:left="720" w:hanging="360"/>
        <w:jc w:val="both"/>
      </w:pPr>
      <w:r>
        <w:rPr>
          <w:rFonts w:ascii="Arial" w:hAnsi="Arial"/>
          <w:b w:val="0"/>
          <w:sz w:val="22"/>
        </w:rPr>
        <w:t>SSPC</w:t>
      </w:r>
    </w:p>
    <w:p>
      <w:pPr>
        <w:pStyle w:val="ListBullet"/>
        <w:spacing w:before="0" w:after="0"/>
        <w:ind w:left="720" w:hanging="360"/>
        <w:jc w:val="both"/>
      </w:pPr>
      <w:r>
        <w:rPr>
          <w:rFonts w:ascii="Arial" w:hAnsi="Arial"/>
          <w:b w:val="0"/>
          <w:sz w:val="22"/>
        </w:rPr>
        <w:t>ASME B16.34</w:t>
      </w:r>
    </w:p>
    <w:p>
      <w:pPr>
        <w:pStyle w:val="ListBullet"/>
        <w:spacing w:before="0" w:after="0"/>
        <w:ind w:left="720" w:hanging="360"/>
        <w:jc w:val="both"/>
      </w:pPr>
      <w:r>
        <w:rPr>
          <w:rFonts w:ascii="Arial" w:hAnsi="Arial"/>
          <w:b w:val="0"/>
          <w:sz w:val="22"/>
        </w:rPr>
        <w:t>API 614</w:t>
      </w:r>
    </w:p>
    <w:p>
      <w:pPr>
        <w:pStyle w:val="ListBullet"/>
        <w:spacing w:before="0" w:after="0"/>
        <w:ind w:left="720" w:hanging="360"/>
        <w:jc w:val="both"/>
      </w:pPr>
      <w:r>
        <w:rPr>
          <w:rFonts w:ascii="Arial" w:hAnsi="Arial"/>
          <w:b w:val="0"/>
          <w:sz w:val="22"/>
        </w:rPr>
        <w:t>EN ISO 14345</w:t>
      </w:r>
    </w:p>
    <w:p>
      <w:pPr>
        <w:pStyle w:val="ListBullet"/>
        <w:spacing w:before="0" w:after="0"/>
        <w:ind w:left="720" w:hanging="360"/>
        <w:jc w:val="both"/>
      </w:pPr>
      <w:r>
        <w:rPr>
          <w:rFonts w:ascii="Arial" w:hAnsi="Arial"/>
          <w:b w:val="0"/>
          <w:sz w:val="22"/>
        </w:rPr>
        <w:t>ASME B16.36</w:t>
      </w:r>
    </w:p>
    <w:p>
      <w:pPr>
        <w:pStyle w:val="ListBullet"/>
        <w:spacing w:before="0" w:after="0"/>
        <w:ind w:left="720" w:hanging="360"/>
        <w:jc w:val="both"/>
      </w:pPr>
      <w:r>
        <w:rPr>
          <w:rFonts w:ascii="Arial" w:hAnsi="Arial"/>
          <w:b w:val="0"/>
          <w:sz w:val="22"/>
        </w:rPr>
        <w:t>API 610</w:t>
      </w:r>
    </w:p>
    <w:p>
      <w:pPr>
        <w:pStyle w:val="ListBullet"/>
        <w:spacing w:before="0" w:after="0"/>
        <w:ind w:left="720" w:hanging="360"/>
        <w:jc w:val="both"/>
      </w:pPr>
      <w:r>
        <w:rPr>
          <w:rFonts w:ascii="Arial" w:hAnsi="Arial"/>
          <w:b w:val="0"/>
          <w:sz w:val="22"/>
        </w:rPr>
        <w:t>EN ISO 2560</w:t>
      </w:r>
    </w:p>
    <w:p>
      <w:pPr>
        <w:pStyle w:val="ListBullet"/>
        <w:spacing w:before="0" w:after="0"/>
        <w:ind w:left="720" w:hanging="360"/>
        <w:jc w:val="both"/>
      </w:pPr>
      <w:r>
        <w:rPr>
          <w:rFonts w:ascii="Arial" w:hAnsi="Arial"/>
          <w:b w:val="0"/>
          <w:sz w:val="22"/>
        </w:rPr>
        <w:t>API598</w:t>
      </w:r>
    </w:p>
    <w:p>
      <w:pPr>
        <w:pStyle w:val="ListBullet"/>
        <w:spacing w:before="0" w:after="0"/>
        <w:ind w:left="720" w:hanging="360"/>
        <w:jc w:val="both"/>
      </w:pPr>
      <w:r>
        <w:rPr>
          <w:rFonts w:ascii="Arial" w:hAnsi="Arial"/>
          <w:b w:val="0"/>
          <w:sz w:val="22"/>
        </w:rPr>
        <w:t>EN 10025-2</w:t>
      </w:r>
    </w:p>
    <w:p>
      <w:pPr>
        <w:pStyle w:val="ListBullet"/>
        <w:spacing w:before="0" w:after="0"/>
        <w:ind w:left="720" w:hanging="360"/>
        <w:jc w:val="both"/>
      </w:pPr>
      <w:r>
        <w:rPr>
          <w:rFonts w:ascii="Arial" w:hAnsi="Arial"/>
          <w:b w:val="0"/>
          <w:sz w:val="22"/>
        </w:rPr>
        <w:t>API574</w:t>
      </w:r>
    </w:p>
    <w:p>
      <w:pPr>
        <w:pStyle w:val="ListBullet"/>
        <w:spacing w:before="0" w:after="0"/>
        <w:ind w:left="720" w:hanging="360"/>
        <w:jc w:val="both"/>
      </w:pPr>
      <w:r>
        <w:rPr>
          <w:rFonts w:ascii="Arial" w:hAnsi="Arial"/>
          <w:b w:val="0"/>
          <w:sz w:val="22"/>
        </w:rPr>
        <w:t>ISO 2859-1</w:t>
      </w:r>
    </w:p>
    <w:p>
      <w:pPr>
        <w:pStyle w:val="ListBullet"/>
        <w:spacing w:before="0" w:after="0"/>
        <w:ind w:left="720" w:hanging="360"/>
        <w:jc w:val="both"/>
      </w:pPr>
      <w:r>
        <w:rPr>
          <w:rFonts w:ascii="Arial" w:hAnsi="Arial"/>
          <w:b w:val="0"/>
          <w:sz w:val="22"/>
        </w:rPr>
        <w:t>API 617</w:t>
      </w:r>
    </w:p>
    <w:p>
      <w:pPr>
        <w:pStyle w:val="ListBullet"/>
        <w:spacing w:before="0" w:after="0"/>
        <w:ind w:left="720" w:hanging="360"/>
        <w:jc w:val="both"/>
      </w:pPr>
      <w:r>
        <w:rPr>
          <w:rFonts w:ascii="Arial" w:hAnsi="Arial"/>
          <w:b w:val="0"/>
          <w:sz w:val="22"/>
        </w:rPr>
        <w:t>EN 1090</w:t>
      </w:r>
    </w:p>
    <w:p>
      <w:pPr>
        <w:pStyle w:val="ListBullet"/>
        <w:spacing w:before="0" w:after="0"/>
        <w:ind w:left="720" w:hanging="360"/>
        <w:jc w:val="both"/>
      </w:pPr>
      <w:r>
        <w:rPr>
          <w:rFonts w:ascii="Arial" w:hAnsi="Arial"/>
          <w:b w:val="0"/>
          <w:sz w:val="22"/>
        </w:rPr>
        <w:t>API 576</w:t>
      </w:r>
    </w:p>
    <w:p>
      <w:pPr>
        <w:pStyle w:val="ListBullet"/>
        <w:spacing w:before="0" w:after="0"/>
        <w:ind w:left="720" w:hanging="360"/>
        <w:jc w:val="both"/>
      </w:pPr>
      <w:r>
        <w:rPr>
          <w:rFonts w:ascii="Arial" w:hAnsi="Arial"/>
          <w:b w:val="0"/>
          <w:sz w:val="22"/>
        </w:rPr>
        <w:t>EN 21940</w:t>
      </w:r>
    </w:p>
    <w:p>
      <w:pPr>
        <w:pStyle w:val="ListBullet"/>
        <w:spacing w:before="0" w:after="0"/>
        <w:ind w:left="720" w:hanging="360"/>
        <w:jc w:val="both"/>
      </w:pPr>
      <w:r>
        <w:rPr>
          <w:rFonts w:ascii="Arial" w:hAnsi="Arial"/>
          <w:b w:val="0"/>
          <w:sz w:val="22"/>
        </w:rPr>
        <w:t>API 609</w:t>
      </w:r>
    </w:p>
    <w:p>
      <w:pPr>
        <w:pStyle w:val="ListBullet"/>
        <w:spacing w:before="0" w:after="0"/>
        <w:ind w:left="720" w:hanging="360"/>
        <w:jc w:val="both"/>
      </w:pPr>
      <w:r>
        <w:rPr>
          <w:rFonts w:ascii="Arial" w:hAnsi="Arial"/>
          <w:b w:val="0"/>
          <w:sz w:val="22"/>
        </w:rPr>
        <w:t>ISO 10438</w:t>
      </w:r>
    </w:p>
    <w:p>
      <w:pPr>
        <w:pStyle w:val="ListBullet"/>
        <w:spacing w:before="0" w:after="0"/>
        <w:ind w:left="720" w:hanging="360"/>
        <w:jc w:val="both"/>
      </w:pPr>
      <w:r>
        <w:rPr>
          <w:rFonts w:ascii="Arial" w:hAnsi="Arial"/>
          <w:b w:val="0"/>
          <w:sz w:val="22"/>
        </w:rPr>
        <w:t>API SPEC 6D</w:t>
      </w:r>
    </w:p>
    <w:p>
      <w:pPr>
        <w:pStyle w:val="ListBullet"/>
        <w:spacing w:before="0" w:after="0"/>
        <w:ind w:left="720" w:hanging="360"/>
        <w:jc w:val="both"/>
      </w:pPr>
      <w:r>
        <w:rPr>
          <w:rFonts w:ascii="Arial" w:hAnsi="Arial"/>
          <w:b w:val="0"/>
          <w:sz w:val="22"/>
        </w:rPr>
        <w:t>ISO 3977</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2024 – PRESENT</w:t>
      </w:r>
    </w:p>
    <w:p>
      <w:pPr>
        <w:spacing w:before="0" w:after="0"/>
        <w:jc w:val="left"/>
      </w:pPr>
      <w:r>
        <w:rPr>
          <w:rFonts w:ascii="Arial" w:hAnsi="Arial"/>
          <w:b/>
          <w:sz w:val="22"/>
        </w:rPr>
        <w:t>TPI AGENCY</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Reviewed and verified material test certificates and mill test reports for pipes, valves, and structural steel against EN 10204 3.1/3.2 and project material specifications.</w:t>
      </w:r>
    </w:p>
    <w:p>
      <w:pPr>
        <w:pStyle w:val="ListBullet"/>
        <w:spacing w:before="0" w:after="0"/>
        <w:ind w:left="720" w:hanging="360"/>
        <w:jc w:val="both"/>
      </w:pPr>
      <w:r>
        <w:rPr>
          <w:rFonts w:ascii="Arial" w:hAnsi="Arial"/>
          <w:b w:val="0"/>
          <w:sz w:val="22"/>
        </w:rPr>
        <w:t>Conducted Factory Acceptance Tests for LNG gearboxes, including dimensional accuracy checks, load testing, and performance validation in accordance with API 613 requirements.</w:t>
      </w:r>
    </w:p>
    <w:p>
      <w:pPr>
        <w:pStyle w:val="ListBullet"/>
        <w:spacing w:before="0" w:after="0"/>
        <w:ind w:left="720" w:hanging="360"/>
        <w:jc w:val="both"/>
      </w:pPr>
      <w:r>
        <w:rPr>
          <w:rFonts w:ascii="Arial" w:hAnsi="Arial"/>
          <w:b w:val="0"/>
          <w:sz w:val="22"/>
        </w:rPr>
        <w:t>Performed hydrostatic shell tests on gate, globe, and check valves to verify pressure integrity and leak tightness as per API 598 standards.</w:t>
      </w:r>
    </w:p>
    <w:p>
      <w:pPr>
        <w:pStyle w:val="ListBullet"/>
        <w:spacing w:before="0" w:after="0"/>
        <w:ind w:left="720" w:hanging="360"/>
        <w:jc w:val="both"/>
      </w:pPr>
      <w:r>
        <w:rPr>
          <w:rFonts w:ascii="Arial" w:hAnsi="Arial"/>
          <w:b w:val="0"/>
          <w:sz w:val="22"/>
        </w:rPr>
        <w:t>Executed helium leak testing on bellows-sealed valves and nuclear components to confirm leak rates met RCC-M 2007 nuclear code requirements.</w:t>
      </w:r>
    </w:p>
    <w:p>
      <w:pPr>
        <w:pStyle w:val="ListBullet"/>
        <w:spacing w:before="0" w:after="0"/>
        <w:ind w:left="720" w:hanging="360"/>
        <w:jc w:val="both"/>
      </w:pPr>
      <w:r>
        <w:rPr>
          <w:rFonts w:ascii="Arial" w:hAnsi="Arial"/>
          <w:b w:val="0"/>
          <w:sz w:val="22"/>
        </w:rPr>
        <w:t>Conducted dielectric strength testing and functional validation of medium-voltage switchgear and UPS systems for IEC 61439 compliance.</w:t>
      </w:r>
    </w:p>
    <w:p>
      <w:pPr>
        <w:pStyle w:val="ListBullet"/>
        <w:spacing w:before="0" w:after="0"/>
        <w:ind w:left="720" w:hanging="360"/>
        <w:jc w:val="both"/>
      </w:pPr>
      <w:r>
        <w:rPr>
          <w:rFonts w:ascii="Arial" w:hAnsi="Arial"/>
          <w:b w:val="0"/>
          <w:sz w:val="22"/>
        </w:rPr>
        <w:t>Performed precision measurement of restriction orifices and flowmeter bore diameters using calibrated instruments to verify ±0.05mm tolerance adherence per ISO 5167.</w:t>
      </w:r>
    </w:p>
    <w:p>
      <w:pPr>
        <w:pStyle w:val="ListBullet"/>
        <w:spacing w:before="0" w:after="0"/>
        <w:ind w:left="720" w:hanging="360"/>
        <w:jc w:val="both"/>
      </w:pPr>
      <w:r>
        <w:rPr>
          <w:rFonts w:ascii="Arial" w:hAnsi="Arial"/>
          <w:b w:val="0"/>
          <w:sz w:val="22"/>
        </w:rPr>
        <w:t>Conducted dynamic load testing and operational safety checks on 40-ton pneumatic hoists and lifting equipment in accordance with ISO 4301 lifting standards.</w:t>
      </w:r>
    </w:p>
    <w:p>
      <w:pPr>
        <w:pStyle w:val="ListBullet"/>
        <w:spacing w:before="0" w:after="0"/>
        <w:ind w:left="720" w:hanging="360"/>
        <w:jc w:val="both"/>
      </w:pPr>
      <w:r>
        <w:rPr>
          <w:rFonts w:ascii="Arial" w:hAnsi="Arial"/>
          <w:b w:val="0"/>
          <w:sz w:val="22"/>
        </w:rPr>
        <w:t>Performed thermal performance testing of shell-and-tube heat exchangers, including pressure drop analysis and tube-to-tubesheet joint inspections per ASME Section VIII.</w:t>
      </w:r>
    </w:p>
    <w:p>
      <w:pPr>
        <w:pStyle w:val="ListBullet"/>
        <w:spacing w:before="0" w:after="0"/>
        <w:ind w:left="720" w:hanging="360"/>
        <w:jc w:val="both"/>
      </w:pPr>
      <w:r>
        <w:rPr>
          <w:rFonts w:ascii="Arial" w:hAnsi="Arial"/>
          <w:b w:val="0"/>
          <w:sz w:val="22"/>
        </w:rPr>
        <w:t>Conducted short-circuit withstand testing of generator circuit breakers at 63kA fault current levels in accordance with IEEE C37.013 protocols.</w:t>
      </w:r>
    </w:p>
    <w:p>
      <w:pPr>
        <w:pStyle w:val="ListBullet"/>
        <w:spacing w:before="0" w:after="0"/>
        <w:ind w:left="720" w:hanging="360"/>
        <w:jc w:val="both"/>
      </w:pPr>
      <w:r>
        <w:rPr>
          <w:rFonts w:ascii="Arial" w:hAnsi="Arial"/>
          <w:b w:val="0"/>
          <w:sz w:val="22"/>
        </w:rPr>
        <w:t>Performed PMI using XRF analyzers and hardness testing of crusher wear components to confirm HB 450 hardness compliance for mining equipment.</w:t>
      </w:r>
    </w:p>
    <w:p>
      <w:pPr>
        <w:pStyle w:val="ListBullet"/>
        <w:spacing w:before="0" w:after="0"/>
        <w:ind w:left="720" w:hanging="360"/>
        <w:jc w:val="both"/>
      </w:pPr>
      <w:r>
        <w:rPr>
          <w:rFonts w:ascii="Arial" w:hAnsi="Arial"/>
          <w:b w:val="0"/>
          <w:sz w:val="22"/>
        </w:rPr>
        <w:t>Coordinated with vendors such as Schneider Electric and GE Vernova to expedite production and testing of switchgear and circuit breakers to meet project schedules.</w:t>
      </w:r>
    </w:p>
    <w:p>
      <w:pPr>
        <w:pStyle w:val="ListBullet"/>
        <w:spacing w:before="0" w:after="0"/>
        <w:ind w:left="720" w:hanging="360"/>
        <w:jc w:val="both"/>
      </w:pPr>
      <w:r>
        <w:rPr>
          <w:rFonts w:ascii="Arial" w:hAnsi="Arial"/>
          <w:b w:val="0"/>
          <w:sz w:val="22"/>
        </w:rPr>
        <w:t>Followed up with manufacturers for submission and approval of material certificates and quality documentation for valves and piping components prior to shipment.</w:t>
      </w:r>
    </w:p>
    <w:p>
      <w:pPr>
        <w:pStyle w:val="ListBullet"/>
        <w:spacing w:before="0" w:after="0"/>
        <w:ind w:left="720" w:hanging="360"/>
        <w:jc w:val="both"/>
      </w:pPr>
      <w:r>
        <w:rPr>
          <w:rFonts w:ascii="Arial" w:hAnsi="Arial"/>
          <w:b w:val="0"/>
          <w:sz w:val="22"/>
        </w:rPr>
        <w:t>Expedited FAT completion and witness testing for heat exchangers and pressure vessels by liaising between clients including Aramco and ENEL and suppliers including Kelvion and Alfa Laval.</w:t>
      </w:r>
    </w:p>
    <w:p>
      <w:pPr>
        <w:pStyle w:val="ListBullet"/>
        <w:spacing w:before="0" w:after="0"/>
        <w:ind w:left="720" w:hanging="360"/>
        <w:jc w:val="both"/>
      </w:pPr>
      <w:r>
        <w:rPr>
          <w:rFonts w:ascii="Arial" w:hAnsi="Arial"/>
          <w:b w:val="0"/>
          <w:sz w:val="22"/>
        </w:rPr>
        <w:t>Accelerated delivery of nuclear-grade valves by resolving bottlenecks in material procurement and NDT testing at supplier facilities in France.</w:t>
      </w:r>
    </w:p>
    <w:p>
      <w:pPr>
        <w:pStyle w:val="ListBullet"/>
        <w:spacing w:before="0" w:after="0"/>
        <w:ind w:left="720" w:hanging="360"/>
        <w:jc w:val="both"/>
      </w:pPr>
      <w:r>
        <w:rPr>
          <w:rFonts w:ascii="Arial" w:hAnsi="Arial"/>
          <w:b w:val="0"/>
          <w:sz w:val="22"/>
        </w:rPr>
        <w:t>Tracked and prioritized shipment of UPS systems and electrical panels to meet construction milestones for power plant projects in the Middle East.</w:t>
      </w:r>
    </w:p>
    <w:p>
      <w:pPr>
        <w:pStyle w:val="ListBullet"/>
        <w:spacing w:before="0" w:after="0"/>
        <w:ind w:left="720" w:hanging="360"/>
        <w:jc w:val="both"/>
      </w:pPr>
      <w:r>
        <w:rPr>
          <w:rFonts w:ascii="Arial" w:hAnsi="Arial"/>
          <w:b w:val="0"/>
          <w:sz w:val="22"/>
        </w:rPr>
        <w:t>Verified packing and shipping documentation compliance for oversized equipment such as transformers and turbines to prevent customs clearance delays.</w:t>
      </w:r>
    </w:p>
    <w:p>
      <w:pPr>
        <w:pStyle w:val="ListBullet"/>
        <w:spacing w:before="0" w:after="0"/>
        <w:ind w:left="720" w:hanging="360"/>
        <w:jc w:val="both"/>
      </w:pPr>
      <w:r>
        <w:rPr>
          <w:rFonts w:ascii="Arial" w:hAnsi="Arial"/>
          <w:b w:val="0"/>
          <w:sz w:val="22"/>
        </w:rPr>
        <w:t>Expedited resolution of non-conformance reports for welding defects and material discrepancies to minimize project schedule impacts.</w:t>
      </w:r>
    </w:p>
    <w:p>
      <w:pPr>
        <w:pStyle w:val="ListBullet"/>
        <w:spacing w:before="0" w:after="0"/>
        <w:ind w:left="720" w:hanging="360"/>
        <w:jc w:val="both"/>
      </w:pPr>
      <w:r>
        <w:rPr>
          <w:rFonts w:ascii="Arial" w:hAnsi="Arial"/>
          <w:b w:val="0"/>
          <w:sz w:val="22"/>
        </w:rPr>
        <w:t>Coordinated urgent air freight of replacement parts for critical path equipment during plant shutdown maintenance activities.</w:t>
      </w:r>
    </w:p>
    <w:p>
      <w:pPr>
        <w:pStyle w:val="ListBullet"/>
        <w:spacing w:before="0" w:after="0"/>
        <w:ind w:left="720" w:hanging="360"/>
        <w:jc w:val="both"/>
      </w:pPr>
      <w:r>
        <w:rPr>
          <w:rFonts w:ascii="Arial" w:hAnsi="Arial"/>
          <w:b w:val="0"/>
          <w:sz w:val="22"/>
        </w:rPr>
        <w:t>Conducted on-site vendor visits to assess production status and implement recovery plans for delayed mechanical packages and skid-mounted systems.</w:t>
      </w:r>
    </w:p>
    <w:p>
      <w:pPr>
        <w:spacing w:before="0" w:after="0"/>
      </w:pPr>
    </w:p>
    <w:p>
      <w:pPr>
        <w:spacing w:before="0" w:after="0"/>
        <w:jc w:val="left"/>
      </w:pPr>
      <w:r>
        <w:rPr>
          <w:rFonts w:ascii="Arial" w:hAnsi="Arial"/>
          <w:b/>
          <w:sz w:val="22"/>
        </w:rPr>
        <w:t>2017 – 2024</w:t>
      </w:r>
    </w:p>
    <w:p>
      <w:pPr>
        <w:spacing w:before="0" w:after="0"/>
        <w:jc w:val="left"/>
      </w:pPr>
      <w:r>
        <w:rPr>
          <w:rFonts w:ascii="Arial" w:hAnsi="Arial"/>
          <w:b/>
          <w:sz w:val="22"/>
        </w:rPr>
        <w:t>SEQTO</w:t>
      </w:r>
    </w:p>
    <w:p>
      <w:pPr>
        <w:spacing w:before="0" w:after="0"/>
        <w:jc w:val="left"/>
      </w:pPr>
      <w:r>
        <w:rPr>
          <w:rFonts w:ascii="Arial" w:hAnsi="Arial"/>
          <w:b/>
          <w:sz w:val="22"/>
        </w:rPr>
        <w:t>QUALITY CONTROL AND ASSURANCE/INSPECTOR</w:t>
      </w:r>
    </w:p>
    <w:p>
      <w:pPr>
        <w:spacing w:before="0" w:after="0"/>
      </w:pPr>
    </w:p>
    <w:p>
      <w:pPr>
        <w:spacing w:before="0" w:after="0"/>
        <w:jc w:val="left"/>
      </w:pPr>
      <w:r>
        <w:rPr>
          <w:rFonts w:ascii="Arial" w:hAnsi="Arial"/>
          <w:b/>
          <w:sz w:val="22"/>
        </w:rPr>
        <w:t>2015 – 2017</w:t>
      </w:r>
    </w:p>
    <w:p>
      <w:pPr>
        <w:spacing w:before="0" w:after="0"/>
        <w:jc w:val="left"/>
      </w:pPr>
      <w:r>
        <w:rPr>
          <w:rFonts w:ascii="Arial" w:hAnsi="Arial"/>
          <w:b/>
          <w:sz w:val="22"/>
        </w:rPr>
        <w:t>MARTIN &amp; CO., NORWAY (TINE SA SUBSIDIARY)</w:t>
      </w:r>
    </w:p>
    <w:p>
      <w:pPr>
        <w:spacing w:before="0" w:after="0"/>
        <w:jc w:val="left"/>
      </w:pPr>
      <w:r>
        <w:rPr>
          <w:rFonts w:ascii="Arial" w:hAnsi="Arial"/>
          <w:b/>
          <w:sz w:val="22"/>
        </w:rPr>
        <w:t>AUDITING</w:t>
      </w:r>
    </w:p>
    <w:p>
      <w:pPr>
        <w:spacing w:before="0" w:after="0"/>
      </w:pPr>
    </w:p>
    <w:p>
      <w:pPr>
        <w:spacing w:before="0" w:after="0"/>
        <w:jc w:val="left"/>
      </w:pPr>
      <w:r>
        <w:rPr>
          <w:rFonts w:ascii="Arial" w:hAnsi="Arial"/>
          <w:b/>
          <w:sz w:val="22"/>
        </w:rPr>
        <w:t>2013 – 2015</w:t>
      </w:r>
    </w:p>
    <w:p>
      <w:pPr>
        <w:spacing w:before="0" w:after="0"/>
        <w:jc w:val="left"/>
      </w:pPr>
      <w:r>
        <w:rPr>
          <w:rFonts w:ascii="Arial" w:hAnsi="Arial"/>
          <w:b/>
          <w:sz w:val="22"/>
        </w:rPr>
        <w:t>HITACHI HOME &amp; LIFE SOLUTIONS, NOIDA</w:t>
      </w:r>
    </w:p>
    <w:p>
      <w:pPr>
        <w:spacing w:before="0" w:after="0"/>
        <w:jc w:val="left"/>
      </w:pPr>
      <w:r>
        <w:rPr>
          <w:rFonts w:ascii="Arial" w:hAnsi="Arial"/>
          <w:b/>
          <w:sz w:val="22"/>
        </w:rPr>
        <w:t>QUALITY CONTROL MANAGER</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Vendor</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Items</w:t>
            </w:r>
          </w:p>
        </w:tc>
        <w:tc>
          <w:tcPr>
            <w:tcW w:type="dxa" w:w="2551"/>
          </w:tcPr>
          <w:p>
            <w:pPr>
              <w:spacing w:before="0" w:after="0"/>
              <w:jc w:val="left"/>
            </w:pPr>
            <w:r>
              <w:rPr>
                <w:rFonts w:ascii="Arial" w:hAnsi="Arial"/>
                <w:b/>
                <w:sz w:val="22"/>
              </w:rPr>
              <w:t>Inspection Activities</w:t>
            </w:r>
          </w:p>
        </w:tc>
      </w:tr>
      <w:tr>
        <w:tc>
          <w:tcPr>
            <w:tcW w:type="dxa" w:w="2551"/>
          </w:tcPr>
          <w:p>
            <w:pPr>
              <w:spacing w:before="0" w:after="0"/>
              <w:jc w:val="left"/>
            </w:pPr>
            <w:r>
              <w:rPr>
                <w:rFonts w:ascii="Arial" w:hAnsi="Arial"/>
                <w:b w:val="0"/>
                <w:sz w:val="22"/>
              </w:rPr>
              <w:t>Optimex Pumps</w:t>
            </w:r>
          </w:p>
        </w:tc>
        <w:tc>
          <w:tcPr>
            <w:tcW w:type="dxa" w:w="2551"/>
          </w:tcPr>
          <w:p>
            <w:pPr>
              <w:spacing w:before="0" w:after="0"/>
              <w:jc w:val="left"/>
            </w:pPr>
            <w:r>
              <w:rPr>
                <w:rFonts w:ascii="Arial" w:hAnsi="Arial"/>
                <w:b w:val="0"/>
                <w:sz w:val="22"/>
              </w:rPr>
              <w:t>Bureau Veritas (BV)</w:t>
            </w:r>
          </w:p>
        </w:tc>
        <w:tc>
          <w:tcPr>
            <w:tcW w:type="dxa" w:w="2551"/>
          </w:tcPr>
          <w:p>
            <w:pPr>
              <w:spacing w:before="0" w:after="0"/>
              <w:jc w:val="left"/>
            </w:pPr>
            <w:r>
              <w:rPr>
                <w:rFonts w:ascii="Arial" w:hAnsi="Arial"/>
                <w:b w:val="0"/>
                <w:sz w:val="22"/>
              </w:rPr>
              <w:t>Pumps</w:t>
            </w:r>
          </w:p>
        </w:tc>
        <w:tc>
          <w:tcPr>
            <w:tcW w:type="dxa" w:w="2551"/>
          </w:tcPr>
          <w:p>
            <w:pPr>
              <w:spacing w:before="0" w:after="0"/>
              <w:jc w:val="left"/>
            </w:pPr>
            <w:r>
              <w:rPr>
                <w:rFonts w:ascii="Arial" w:hAnsi="Arial"/>
                <w:b w:val="0"/>
                <w:sz w:val="22"/>
              </w:rPr>
              <w:t>FAT Dimensional checks</w:t>
            </w:r>
          </w:p>
        </w:tc>
      </w:tr>
      <w:tr>
        <w:tc>
          <w:tcPr>
            <w:tcW w:type="dxa" w:w="2551"/>
          </w:tcPr>
          <w:p>
            <w:pPr>
              <w:spacing w:before="0" w:after="0"/>
              <w:jc w:val="left"/>
            </w:pPr>
            <w:r>
              <w:rPr>
                <w:rFonts w:ascii="Arial" w:hAnsi="Arial"/>
                <w:b w:val="0"/>
                <w:sz w:val="22"/>
              </w:rPr>
              <w:t>ArcelorMittal</w:t>
            </w:r>
          </w:p>
        </w:tc>
        <w:tc>
          <w:tcPr>
            <w:tcW w:type="dxa" w:w="2551"/>
          </w:tcPr>
          <w:p>
            <w:pPr>
              <w:spacing w:before="0" w:after="0"/>
              <w:jc w:val="left"/>
            </w:pPr>
            <w:r>
              <w:rPr>
                <w:rFonts w:ascii="Arial" w:hAnsi="Arial"/>
                <w:b w:val="0"/>
                <w:sz w:val="22"/>
              </w:rPr>
              <w:t>TÜV SUD / TÜV Rheinland</w:t>
            </w:r>
          </w:p>
        </w:tc>
        <w:tc>
          <w:tcPr>
            <w:tcW w:type="dxa" w:w="2551"/>
          </w:tcPr>
          <w:p>
            <w:pPr>
              <w:spacing w:before="0" w:after="0"/>
              <w:jc w:val="left"/>
            </w:pPr>
            <w:r>
              <w:rPr>
                <w:rFonts w:ascii="Arial" w:hAnsi="Arial"/>
                <w:b w:val="0"/>
                <w:sz w:val="22"/>
              </w:rPr>
              <w:t>Steel sheets</w:t>
            </w:r>
          </w:p>
        </w:tc>
        <w:tc>
          <w:tcPr>
            <w:tcW w:type="dxa" w:w="2551"/>
          </w:tcPr>
          <w:p>
            <w:pPr>
              <w:spacing w:before="0" w:after="0"/>
              <w:jc w:val="left"/>
            </w:pPr>
            <w:r>
              <w:rPr>
                <w:rFonts w:ascii="Arial" w:hAnsi="Arial"/>
                <w:b w:val="0"/>
                <w:sz w:val="22"/>
              </w:rPr>
              <w:t>Material certification (EN 10204) PMI</w:t>
            </w:r>
          </w:p>
        </w:tc>
      </w:tr>
      <w:tr>
        <w:tc>
          <w:tcPr>
            <w:tcW w:type="dxa" w:w="2551"/>
          </w:tcPr>
          <w:p>
            <w:pPr>
              <w:spacing w:before="0" w:after="0"/>
              <w:jc w:val="left"/>
            </w:pPr>
            <w:r>
              <w:rPr>
                <w:rFonts w:ascii="Arial" w:hAnsi="Arial"/>
                <w:b w:val="0"/>
                <w:sz w:val="22"/>
              </w:rPr>
              <w:t>Schneider Electric</w:t>
            </w:r>
          </w:p>
        </w:tc>
        <w:tc>
          <w:tcPr>
            <w:tcW w:type="dxa" w:w="2551"/>
          </w:tcPr>
          <w:p>
            <w:pPr>
              <w:spacing w:before="0" w:after="0"/>
              <w:jc w:val="left"/>
            </w:pPr>
            <w:r>
              <w:rPr>
                <w:rFonts w:ascii="Arial" w:hAnsi="Arial"/>
                <w:b w:val="0"/>
                <w:sz w:val="22"/>
              </w:rPr>
              <w:t>Ashok Leyland</w:t>
            </w:r>
          </w:p>
        </w:tc>
        <w:tc>
          <w:tcPr>
            <w:tcW w:type="dxa" w:w="2551"/>
          </w:tcPr>
          <w:p>
            <w:pPr>
              <w:spacing w:before="0" w:after="0"/>
              <w:jc w:val="left"/>
            </w:pPr>
            <w:r>
              <w:rPr>
                <w:rFonts w:ascii="Arial" w:hAnsi="Arial"/>
                <w:b w:val="0"/>
                <w:sz w:val="22"/>
              </w:rPr>
              <w:t>Switchgear</w:t>
            </w:r>
          </w:p>
        </w:tc>
        <w:tc>
          <w:tcPr>
            <w:tcW w:type="dxa" w:w="2551"/>
          </w:tcPr>
          <w:p>
            <w:pPr>
              <w:spacing w:before="0" w:after="0"/>
              <w:jc w:val="left"/>
            </w:pPr>
            <w:r>
              <w:rPr>
                <w:rFonts w:ascii="Arial" w:hAnsi="Arial"/>
                <w:b w:val="0"/>
                <w:sz w:val="22"/>
              </w:rPr>
              <w:t>Dielectric strength validation (IEC 61439)</w:t>
            </w:r>
          </w:p>
        </w:tc>
      </w:tr>
      <w:tr>
        <w:tc>
          <w:tcPr>
            <w:tcW w:type="dxa" w:w="2551"/>
          </w:tcPr>
          <w:p>
            <w:pPr>
              <w:spacing w:before="0" w:after="0"/>
              <w:jc w:val="left"/>
            </w:pPr>
            <w:r>
              <w:rPr>
                <w:rFonts w:ascii="Arial" w:hAnsi="Arial"/>
                <w:b w:val="0"/>
                <w:sz w:val="22"/>
              </w:rPr>
              <w:t>Eaton</w:t>
            </w:r>
          </w:p>
        </w:tc>
        <w:tc>
          <w:tcPr>
            <w:tcW w:type="dxa" w:w="2551"/>
          </w:tcPr>
          <w:p>
            <w:pPr>
              <w:spacing w:before="0" w:after="0"/>
              <w:jc w:val="left"/>
            </w:pPr>
            <w:r>
              <w:rPr>
                <w:rFonts w:ascii="Arial" w:hAnsi="Arial"/>
                <w:b w:val="0"/>
                <w:sz w:val="22"/>
              </w:rPr>
              <w:t>Qatar Energy</w:t>
            </w:r>
          </w:p>
        </w:tc>
        <w:tc>
          <w:tcPr>
            <w:tcW w:type="dxa" w:w="2551"/>
          </w:tcPr>
          <w:p>
            <w:pPr>
              <w:spacing w:before="0" w:after="0"/>
              <w:jc w:val="left"/>
            </w:pPr>
            <w:r>
              <w:rPr>
                <w:rFonts w:ascii="Arial" w:hAnsi="Arial"/>
                <w:b w:val="0"/>
                <w:sz w:val="22"/>
              </w:rPr>
              <w:t>UPS System</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ervaux</w:t>
            </w:r>
          </w:p>
        </w:tc>
        <w:tc>
          <w:tcPr>
            <w:tcW w:type="dxa" w:w="2551"/>
          </w:tcPr>
          <w:p>
            <w:pPr>
              <w:spacing w:before="0" w:after="0"/>
              <w:jc w:val="left"/>
            </w:pPr>
            <w:r>
              <w:rPr>
                <w:rFonts w:ascii="Arial" w:hAnsi="Arial"/>
                <w:b w:val="0"/>
                <w:sz w:val="22"/>
              </w:rPr>
              <w:t>Kalpataru Power Transmission</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10-day FAT Hydrostatic shell tests (API 598)</w:t>
            </w:r>
          </w:p>
        </w:tc>
      </w:tr>
      <w:tr>
        <w:tc>
          <w:tcPr>
            <w:tcW w:type="dxa" w:w="2551"/>
          </w:tcPr>
          <w:p>
            <w:pPr>
              <w:spacing w:before="0" w:after="0"/>
              <w:jc w:val="left"/>
            </w:pPr>
            <w:r>
              <w:rPr>
                <w:rFonts w:ascii="Arial" w:hAnsi="Arial"/>
                <w:b w:val="0"/>
                <w:sz w:val="22"/>
              </w:rPr>
              <w:t>GE Vernova</w:t>
            </w:r>
          </w:p>
        </w:tc>
        <w:tc>
          <w:tcPr>
            <w:tcW w:type="dxa" w:w="2551"/>
          </w:tcPr>
          <w:p>
            <w:pPr>
              <w:spacing w:before="0" w:after="0"/>
              <w:jc w:val="left"/>
            </w:pPr>
            <w:r>
              <w:rPr>
                <w:rFonts w:ascii="Arial" w:hAnsi="Arial"/>
                <w:b w:val="0"/>
                <w:sz w:val="22"/>
              </w:rPr>
              <w:t>Saudi Ministry of Energy</w:t>
            </w:r>
          </w:p>
        </w:tc>
        <w:tc>
          <w:tcPr>
            <w:tcW w:type="dxa" w:w="2551"/>
          </w:tcPr>
          <w:p>
            <w:pPr>
              <w:spacing w:before="0" w:after="0"/>
              <w:jc w:val="left"/>
            </w:pPr>
            <w:r>
              <w:rPr>
                <w:rFonts w:ascii="Arial" w:hAnsi="Arial"/>
                <w:b w:val="0"/>
                <w:sz w:val="22"/>
              </w:rPr>
              <w:t>Generator Circuit Breakers</w:t>
            </w:r>
          </w:p>
        </w:tc>
        <w:tc>
          <w:tcPr>
            <w:tcW w:type="dxa" w:w="2551"/>
          </w:tcPr>
          <w:p>
            <w:pPr>
              <w:spacing w:before="0" w:after="0"/>
              <w:jc w:val="left"/>
            </w:pPr>
            <w:r>
              <w:rPr>
                <w:rFonts w:ascii="Arial" w:hAnsi="Arial"/>
                <w:b w:val="0"/>
                <w:sz w:val="22"/>
              </w:rPr>
              <w:t>Short-circuit withstand testing (63kA, IEEE C37.013)</w:t>
            </w:r>
          </w:p>
        </w:tc>
      </w:tr>
      <w:tr>
        <w:tc>
          <w:tcPr>
            <w:tcW w:type="dxa" w:w="2551"/>
          </w:tcPr>
          <w:p>
            <w:pPr>
              <w:spacing w:before="0" w:after="0"/>
              <w:jc w:val="left"/>
            </w:pPr>
            <w:r>
              <w:rPr>
                <w:rFonts w:ascii="Arial" w:hAnsi="Arial"/>
                <w:b w:val="0"/>
                <w:sz w:val="22"/>
              </w:rPr>
              <w:t>Chloride SAS</w:t>
            </w:r>
          </w:p>
        </w:tc>
        <w:tc>
          <w:tcPr>
            <w:tcW w:type="dxa" w:w="2551"/>
          </w:tcPr>
          <w:p>
            <w:pPr>
              <w:spacing w:before="0" w:after="0"/>
              <w:jc w:val="left"/>
            </w:pPr>
            <w:r>
              <w:rPr>
                <w:rFonts w:ascii="Arial" w:hAnsi="Arial"/>
                <w:b w:val="0"/>
                <w:sz w:val="22"/>
              </w:rPr>
              <w:t>Ministry of Energy &amp; Water, Kuwait</w:t>
            </w:r>
          </w:p>
        </w:tc>
        <w:tc>
          <w:tcPr>
            <w:tcW w:type="dxa" w:w="2551"/>
          </w:tcPr>
          <w:p>
            <w:pPr>
              <w:spacing w:before="0" w:after="0"/>
              <w:jc w:val="left"/>
            </w:pPr>
            <w:r>
              <w:rPr>
                <w:rFonts w:ascii="Arial" w:hAnsi="Arial"/>
                <w:b w:val="0"/>
                <w:sz w:val="22"/>
              </w:rPr>
              <w:t>UPS Systems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Parker Hannifin</w:t>
            </w:r>
          </w:p>
        </w:tc>
        <w:tc>
          <w:tcPr>
            <w:tcW w:type="dxa" w:w="2551"/>
          </w:tcPr>
          <w:p>
            <w:pPr>
              <w:spacing w:before="0" w:after="0"/>
              <w:jc w:val="left"/>
            </w:pPr>
            <w:r>
              <w:rPr>
                <w:rFonts w:ascii="Arial" w:hAnsi="Arial"/>
                <w:b w:val="0"/>
                <w:sz w:val="22"/>
              </w:rPr>
              <w:t>Weir Group</w:t>
            </w:r>
          </w:p>
        </w:tc>
        <w:tc>
          <w:tcPr>
            <w:tcW w:type="dxa" w:w="2551"/>
          </w:tcPr>
          <w:p>
            <w:pPr>
              <w:spacing w:before="0" w:after="0"/>
              <w:jc w:val="left"/>
            </w:pPr>
            <w:r>
              <w:rPr>
                <w:rFonts w:ascii="Arial" w:hAnsi="Arial"/>
                <w:b w:val="0"/>
                <w:sz w:val="22"/>
              </w:rPr>
              <w:t>Flowmeters</w:t>
            </w:r>
          </w:p>
        </w:tc>
        <w:tc>
          <w:tcPr>
            <w:tcW w:type="dxa" w:w="2551"/>
          </w:tcPr>
          <w:p>
            <w:pPr>
              <w:spacing w:before="0" w:after="0"/>
              <w:jc w:val="left"/>
            </w:pPr>
            <w:r>
              <w:rPr>
                <w:rFonts w:ascii="Arial" w:hAnsi="Arial"/>
                <w:b w:val="0"/>
                <w:sz w:val="22"/>
              </w:rPr>
              <w:t>Precision bore verification (±0.05mm, ISO 5167)</w:t>
            </w:r>
          </w:p>
        </w:tc>
      </w:tr>
      <w:tr>
        <w:tc>
          <w:tcPr>
            <w:tcW w:type="dxa" w:w="2551"/>
          </w:tcPr>
          <w:p>
            <w:pPr>
              <w:spacing w:before="0" w:after="0"/>
              <w:jc w:val="left"/>
            </w:pPr>
            <w:r>
              <w:rPr>
                <w:rFonts w:ascii="Arial" w:hAnsi="Arial"/>
                <w:b w:val="0"/>
                <w:sz w:val="22"/>
              </w:rPr>
              <w:t>Kelvion</w:t>
            </w:r>
          </w:p>
        </w:tc>
        <w:tc>
          <w:tcPr>
            <w:tcW w:type="dxa" w:w="2551"/>
          </w:tcPr>
          <w:p>
            <w:pPr>
              <w:spacing w:before="0" w:after="0"/>
              <w:jc w:val="left"/>
            </w:pPr>
            <w:r>
              <w:rPr>
                <w:rFonts w:ascii="Arial" w:hAnsi="Arial"/>
                <w:b w:val="0"/>
                <w:sz w:val="22"/>
              </w:rPr>
              <w:t>Aramco / FLUOR</w:t>
            </w:r>
          </w:p>
        </w:tc>
        <w:tc>
          <w:tcPr>
            <w:tcW w:type="dxa" w:w="2551"/>
          </w:tcPr>
          <w:p>
            <w:pPr>
              <w:spacing w:before="0" w:after="0"/>
              <w:jc w:val="left"/>
            </w:pPr>
            <w:r>
              <w:rPr>
                <w:rFonts w:ascii="Arial" w:hAnsi="Arial"/>
                <w:b w:val="0"/>
                <w:sz w:val="22"/>
              </w:rPr>
              <w:t>Heat exchangers</w:t>
            </w:r>
          </w:p>
        </w:tc>
        <w:tc>
          <w:tcPr>
            <w:tcW w:type="dxa" w:w="2551"/>
          </w:tcPr>
          <w:p>
            <w:pPr>
              <w:spacing w:before="0" w:after="0"/>
              <w:jc w:val="left"/>
            </w:pPr>
            <w:r>
              <w:rPr>
                <w:rFonts w:ascii="Arial" w:hAnsi="Arial"/>
                <w:b w:val="0"/>
                <w:sz w:val="22"/>
              </w:rPr>
              <w:t>Thermal performance testing (ΔP &lt; 5% design) Tube-to-tubesheet joint inspection (ASME)</w:t>
            </w:r>
          </w:p>
        </w:tc>
      </w:tr>
      <w:tr>
        <w:tc>
          <w:tcPr>
            <w:tcW w:type="dxa" w:w="2551"/>
          </w:tcPr>
          <w:p>
            <w:pPr>
              <w:spacing w:before="0" w:after="0"/>
              <w:jc w:val="left"/>
            </w:pPr>
            <w:r>
              <w:rPr>
                <w:rFonts w:ascii="Arial" w:hAnsi="Arial"/>
                <w:b w:val="0"/>
                <w:sz w:val="22"/>
              </w:rPr>
              <w:t>Eaton</w:t>
            </w:r>
          </w:p>
        </w:tc>
        <w:tc>
          <w:tcPr>
            <w:tcW w:type="dxa" w:w="2551"/>
          </w:tcPr>
          <w:p>
            <w:pPr>
              <w:spacing w:before="0" w:after="0"/>
              <w:jc w:val="left"/>
            </w:pPr>
            <w:r>
              <w:rPr>
                <w:rFonts w:ascii="Arial" w:hAnsi="Arial"/>
                <w:b w:val="0"/>
                <w:sz w:val="22"/>
              </w:rPr>
              <w:t>Saudi Electricity Company</w:t>
            </w:r>
          </w:p>
        </w:tc>
        <w:tc>
          <w:tcPr>
            <w:tcW w:type="dxa" w:w="2551"/>
          </w:tcPr>
          <w:p>
            <w:pPr>
              <w:spacing w:before="0" w:after="0"/>
              <w:jc w:val="left"/>
            </w:pPr>
            <w:r>
              <w:rPr>
                <w:rFonts w:ascii="Arial" w:hAnsi="Arial"/>
                <w:b w:val="0"/>
                <w:sz w:val="22"/>
              </w:rPr>
              <w:t>UPS Systems</w:t>
            </w:r>
          </w:p>
        </w:tc>
        <w:tc>
          <w:tcPr>
            <w:tcW w:type="dxa" w:w="2551"/>
          </w:tcPr>
          <w:p>
            <w:pPr>
              <w:spacing w:before="0" w:after="0"/>
              <w:jc w:val="left"/>
            </w:pPr>
            <w:r>
              <w:rPr>
                <w:rFonts w:ascii="Arial" w:hAnsi="Arial"/>
                <w:b w:val="0"/>
                <w:sz w:val="22"/>
              </w:rPr>
              <w:t>Redundancy load tests (2x100% capacity)</w:t>
            </w:r>
          </w:p>
        </w:tc>
      </w:tr>
      <w:tr>
        <w:tc>
          <w:tcPr>
            <w:tcW w:type="dxa" w:w="2551"/>
          </w:tcPr>
          <w:p>
            <w:pPr>
              <w:spacing w:before="0" w:after="0"/>
              <w:jc w:val="left"/>
            </w:pPr>
            <w:r>
              <w:rPr>
                <w:rFonts w:ascii="Arial" w:hAnsi="Arial"/>
                <w:b w:val="0"/>
                <w:sz w:val="22"/>
              </w:rPr>
              <w:t>Siemens Energy</w:t>
            </w:r>
          </w:p>
        </w:tc>
        <w:tc>
          <w:tcPr>
            <w:tcW w:type="dxa" w:w="2551"/>
          </w:tcPr>
          <w:p>
            <w:pPr>
              <w:spacing w:before="0" w:after="0"/>
              <w:jc w:val="left"/>
            </w:pPr>
            <w:r>
              <w:rPr>
                <w:rFonts w:ascii="Arial" w:hAnsi="Arial"/>
                <w:b w:val="0"/>
                <w:sz w:val="22"/>
              </w:rPr>
              <w:t>Enel / EDF</w:t>
            </w:r>
          </w:p>
        </w:tc>
        <w:tc>
          <w:tcPr>
            <w:tcW w:type="dxa" w:w="2551"/>
          </w:tcPr>
          <w:p>
            <w:pPr>
              <w:spacing w:before="0" w:after="0"/>
              <w:jc w:val="left"/>
            </w:pPr>
            <w:r>
              <w:rPr>
                <w:rFonts w:ascii="Arial" w:hAnsi="Arial"/>
                <w:b w:val="0"/>
                <w:sz w:val="22"/>
              </w:rPr>
              <w:t>HV Circuit Breakers</w:t>
            </w:r>
          </w:p>
        </w:tc>
        <w:tc>
          <w:tcPr>
            <w:tcW w:type="dxa" w:w="2551"/>
          </w:tcPr>
          <w:p>
            <w:pPr>
              <w:spacing w:before="0" w:after="0"/>
              <w:jc w:val="left"/>
            </w:pPr>
            <w:r>
              <w:rPr>
                <w:rFonts w:ascii="Arial" w:hAnsi="Arial"/>
                <w:b w:val="0"/>
                <w:sz w:val="22"/>
              </w:rPr>
              <w:t>High-voltage withstand tests (2kV/min)</w:t>
            </w:r>
          </w:p>
        </w:tc>
      </w:tr>
      <w:tr>
        <w:tc>
          <w:tcPr>
            <w:tcW w:type="dxa" w:w="2551"/>
          </w:tcPr>
          <w:p>
            <w:pPr>
              <w:spacing w:before="0" w:after="0"/>
              <w:jc w:val="left"/>
            </w:pPr>
            <w:r>
              <w:rPr>
                <w:rFonts w:ascii="Arial" w:hAnsi="Arial"/>
                <w:b w:val="0"/>
                <w:sz w:val="22"/>
              </w:rPr>
              <w:t>Mammoet</w:t>
            </w:r>
          </w:p>
        </w:tc>
        <w:tc>
          <w:tcPr>
            <w:tcW w:type="dxa" w:w="2551"/>
          </w:tcPr>
          <w:p>
            <w:pPr>
              <w:spacing w:before="0" w:after="0"/>
              <w:jc w:val="left"/>
            </w:pPr>
            <w:r>
              <w:rPr>
                <w:rFonts w:ascii="Arial" w:hAnsi="Arial"/>
                <w:b w:val="0"/>
                <w:sz w:val="22"/>
              </w:rPr>
              <w:t>TotalEnergies / Keppel Offshore</w:t>
            </w:r>
          </w:p>
        </w:tc>
        <w:tc>
          <w:tcPr>
            <w:tcW w:type="dxa" w:w="2551"/>
          </w:tcPr>
          <w:p>
            <w:pPr>
              <w:spacing w:before="0" w:after="0"/>
              <w:jc w:val="left"/>
            </w:pPr>
            <w:r>
              <w:rPr>
                <w:rFonts w:ascii="Arial" w:hAnsi="Arial"/>
                <w:b w:val="0"/>
                <w:sz w:val="22"/>
              </w:rPr>
              <w:t>Pneumatic hoists</w:t>
            </w:r>
          </w:p>
        </w:tc>
        <w:tc>
          <w:tcPr>
            <w:tcW w:type="dxa" w:w="2551"/>
          </w:tcPr>
          <w:p>
            <w:pPr>
              <w:spacing w:before="0" w:after="0"/>
              <w:jc w:val="left"/>
            </w:pPr>
            <w:r>
              <w:rPr>
                <w:rFonts w:ascii="Arial" w:hAnsi="Arial"/>
                <w:b w:val="0"/>
                <w:sz w:val="22"/>
              </w:rPr>
              <w:t>Dynamic load tests (40T capacity)</w:t>
            </w:r>
          </w:p>
        </w:tc>
      </w:tr>
      <w:tr>
        <w:tc>
          <w:tcPr>
            <w:tcW w:type="dxa" w:w="2551"/>
          </w:tcPr>
          <w:p>
            <w:pPr>
              <w:spacing w:before="0" w:after="0"/>
              <w:jc w:val="left"/>
            </w:pPr>
            <w:r>
              <w:rPr>
                <w:rFonts w:ascii="Arial" w:hAnsi="Arial"/>
                <w:b w:val="0"/>
                <w:sz w:val="22"/>
              </w:rPr>
              <w:t>KSB</w:t>
            </w:r>
          </w:p>
        </w:tc>
        <w:tc>
          <w:tcPr>
            <w:tcW w:type="dxa" w:w="2551"/>
          </w:tcPr>
          <w:p>
            <w:pPr>
              <w:spacing w:before="0" w:after="0"/>
              <w:jc w:val="left"/>
            </w:pPr>
            <w:r>
              <w:rPr>
                <w:rFonts w:ascii="Arial" w:hAnsi="Arial"/>
                <w:b w:val="0"/>
                <w:sz w:val="22"/>
              </w:rPr>
              <w:t>Honeywell</w:t>
            </w:r>
          </w:p>
        </w:tc>
        <w:tc>
          <w:tcPr>
            <w:tcW w:type="dxa" w:w="2551"/>
          </w:tcPr>
          <w:p>
            <w:pPr>
              <w:spacing w:before="0" w:after="0"/>
              <w:jc w:val="left"/>
            </w:pPr>
            <w:r>
              <w:rPr>
                <w:rFonts w:ascii="Arial" w:hAnsi="Arial"/>
                <w:b w:val="0"/>
                <w:sz w:val="22"/>
              </w:rPr>
              <w:t>Ball Valves</w:t>
            </w:r>
          </w:p>
        </w:tc>
        <w:tc>
          <w:tcPr>
            <w:tcW w:type="dxa" w:w="2551"/>
          </w:tcPr>
          <w:p>
            <w:pPr>
              <w:spacing w:before="0" w:after="0"/>
              <w:jc w:val="left"/>
            </w:pPr>
            <w:r>
              <w:rPr>
                <w:rFonts w:ascii="Arial" w:hAnsi="Arial"/>
                <w:b w:val="0"/>
                <w:sz w:val="22"/>
              </w:rPr>
              <w:t>Hydrostatic testing Functional checks</w:t>
            </w:r>
          </w:p>
        </w:tc>
      </w:tr>
      <w:tr>
        <w:tc>
          <w:tcPr>
            <w:tcW w:type="dxa" w:w="2551"/>
          </w:tcPr>
          <w:p>
            <w:pPr>
              <w:spacing w:before="0" w:after="0"/>
              <w:jc w:val="left"/>
            </w:pPr>
            <w:r>
              <w:rPr>
                <w:rFonts w:ascii="Arial" w:hAnsi="Arial"/>
                <w:b w:val="0"/>
                <w:sz w:val="22"/>
              </w:rPr>
              <w:t>Eaton</w:t>
            </w:r>
          </w:p>
        </w:tc>
        <w:tc>
          <w:tcPr>
            <w:tcW w:type="dxa" w:w="2551"/>
          </w:tcPr>
          <w:p>
            <w:pPr>
              <w:spacing w:before="0" w:after="0"/>
              <w:jc w:val="left"/>
            </w:pPr>
            <w:r>
              <w:rPr>
                <w:rFonts w:ascii="Arial" w:hAnsi="Arial"/>
                <w:b w:val="0"/>
                <w:sz w:val="22"/>
              </w:rPr>
              <w:t>DubaiElectricity and Water Authority</w:t>
            </w:r>
          </w:p>
        </w:tc>
        <w:tc>
          <w:tcPr>
            <w:tcW w:type="dxa" w:w="2551"/>
          </w:tcPr>
          <w:p>
            <w:pPr>
              <w:spacing w:before="0" w:after="0"/>
              <w:jc w:val="left"/>
            </w:pPr>
            <w:r>
              <w:rPr>
                <w:rFonts w:ascii="Arial" w:hAnsi="Arial"/>
                <w:b w:val="0"/>
                <w:sz w:val="22"/>
              </w:rPr>
              <w:t>UPS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Sinopec, Dijon</w:t>
            </w:r>
          </w:p>
        </w:tc>
        <w:tc>
          <w:tcPr>
            <w:tcW w:type="dxa" w:w="2551"/>
          </w:tcPr>
          <w:p>
            <w:pPr>
              <w:spacing w:before="0" w:after="0"/>
              <w:jc w:val="left"/>
            </w:pPr>
            <w:r>
              <w:rPr>
                <w:rFonts w:ascii="Arial" w:hAnsi="Arial"/>
                <w:b w:val="0"/>
                <w:sz w:val="22"/>
              </w:rPr>
              <w:t>Hitachi Construction Machinery</w:t>
            </w:r>
          </w:p>
        </w:tc>
        <w:tc>
          <w:tcPr>
            <w:tcW w:type="dxa" w:w="2551"/>
          </w:tcPr>
          <w:p>
            <w:pPr>
              <w:spacing w:before="0" w:after="0"/>
              <w:jc w:val="left"/>
            </w:pPr>
            <w:r>
              <w:rPr>
                <w:rFonts w:ascii="Arial" w:hAnsi="Arial"/>
                <w:b w:val="0"/>
                <w:sz w:val="22"/>
              </w:rPr>
              <w:t>Centrifugal Pumps</w:t>
            </w:r>
          </w:p>
        </w:tc>
        <w:tc>
          <w:tcPr>
            <w:tcW w:type="dxa" w:w="2551"/>
          </w:tcPr>
          <w:p>
            <w:pPr>
              <w:spacing w:before="0" w:after="0"/>
              <w:jc w:val="left"/>
            </w:pPr>
            <w:r>
              <w:rPr>
                <w:rFonts w:ascii="Arial" w:hAnsi="Arial"/>
                <w:b w:val="0"/>
                <w:sz w:val="22"/>
              </w:rPr>
              <w:t>Visual and Dimensional Inspection Pressure Test</w:t>
            </w:r>
          </w:p>
        </w:tc>
      </w:tr>
      <w:tr>
        <w:tc>
          <w:tcPr>
            <w:tcW w:type="dxa" w:w="2551"/>
          </w:tcPr>
          <w:p>
            <w:pPr>
              <w:spacing w:before="0" w:after="0"/>
              <w:jc w:val="left"/>
            </w:pPr>
            <w:r>
              <w:rPr>
                <w:rFonts w:ascii="Arial" w:hAnsi="Arial"/>
                <w:b w:val="0"/>
                <w:sz w:val="22"/>
              </w:rPr>
              <w:t>Alfa Laval</w:t>
            </w:r>
          </w:p>
        </w:tc>
        <w:tc>
          <w:tcPr>
            <w:tcW w:type="dxa" w:w="2551"/>
          </w:tcPr>
          <w:p>
            <w:pPr>
              <w:spacing w:before="0" w:after="0"/>
              <w:jc w:val="left"/>
            </w:pPr>
            <w:r>
              <w:rPr>
                <w:rFonts w:ascii="Arial" w:hAnsi="Arial"/>
                <w:b w:val="0"/>
                <w:sz w:val="22"/>
              </w:rPr>
              <w:t>Dubai Electricity &amp; Water Authority</w:t>
            </w:r>
          </w:p>
        </w:tc>
        <w:tc>
          <w:tcPr>
            <w:tcW w:type="dxa" w:w="2551"/>
          </w:tcPr>
          <w:p>
            <w:pPr>
              <w:spacing w:before="0" w:after="0"/>
              <w:jc w:val="left"/>
            </w:pPr>
            <w:r>
              <w:rPr>
                <w:rFonts w:ascii="Arial" w:hAnsi="Arial"/>
                <w:b w:val="0"/>
                <w:sz w:val="22"/>
              </w:rPr>
              <w:t>Control Valves</w:t>
            </w:r>
          </w:p>
        </w:tc>
        <w:tc>
          <w:tcPr>
            <w:tcW w:type="dxa" w:w="2551"/>
          </w:tcPr>
          <w:p>
            <w:pPr>
              <w:spacing w:before="0" w:after="0"/>
              <w:jc w:val="left"/>
            </w:pPr>
            <w:r>
              <w:rPr>
                <w:rFonts w:ascii="Arial" w:hAnsi="Arial"/>
                <w:b w:val="0"/>
                <w:sz w:val="22"/>
              </w:rPr>
              <w:t>Functional tests at 250% design pressure</w:t>
            </w:r>
          </w:p>
        </w:tc>
      </w:tr>
      <w:tr>
        <w:tc>
          <w:tcPr>
            <w:tcW w:type="dxa" w:w="2551"/>
          </w:tcPr>
          <w:p>
            <w:pPr>
              <w:spacing w:before="0" w:after="0"/>
              <w:jc w:val="left"/>
            </w:pPr>
            <w:r>
              <w:rPr>
                <w:rFonts w:ascii="Arial" w:hAnsi="Arial"/>
                <w:b w:val="0"/>
                <w:sz w:val="22"/>
              </w:rPr>
              <w:t>Pentair</w:t>
            </w:r>
          </w:p>
        </w:tc>
        <w:tc>
          <w:tcPr>
            <w:tcW w:type="dxa" w:w="2551"/>
          </w:tcPr>
          <w:p>
            <w:pPr>
              <w:spacing w:before="0" w:after="0"/>
              <w:jc w:val="left"/>
            </w:pPr>
            <w:r>
              <w:rPr>
                <w:rFonts w:ascii="Arial" w:hAnsi="Arial"/>
                <w:b w:val="0"/>
                <w:sz w:val="22"/>
              </w:rPr>
              <w:t>China Nuclear Power Engineering</w:t>
            </w:r>
          </w:p>
        </w:tc>
        <w:tc>
          <w:tcPr>
            <w:tcW w:type="dxa" w:w="2551"/>
          </w:tcPr>
          <w:p>
            <w:pPr>
              <w:spacing w:before="0" w:after="0"/>
              <w:jc w:val="left"/>
            </w:pPr>
            <w:r>
              <w:rPr>
                <w:rFonts w:ascii="Arial" w:hAnsi="Arial"/>
                <w:b w:val="0"/>
                <w:sz w:val="22"/>
              </w:rPr>
              <w:t>Bellows seals</w:t>
            </w:r>
          </w:p>
        </w:tc>
        <w:tc>
          <w:tcPr>
            <w:tcW w:type="dxa" w:w="2551"/>
          </w:tcPr>
          <w:p>
            <w:pPr>
              <w:spacing w:before="0" w:after="0"/>
              <w:jc w:val="left"/>
            </w:pPr>
            <w:r>
              <w:rPr>
                <w:rFonts w:ascii="Arial" w:hAnsi="Arial"/>
                <w:b w:val="0"/>
                <w:sz w:val="22"/>
              </w:rPr>
              <w:t>Helium leak tests (RCC-M 2007)</w:t>
            </w:r>
          </w:p>
        </w:tc>
      </w:tr>
      <w:tr>
        <w:tc>
          <w:tcPr>
            <w:tcW w:type="dxa" w:w="2551"/>
          </w:tcPr>
          <w:p>
            <w:pPr>
              <w:spacing w:before="0" w:after="0"/>
              <w:jc w:val="left"/>
            </w:pPr>
            <w:r>
              <w:rPr>
                <w:rFonts w:ascii="Arial" w:hAnsi="Arial"/>
                <w:b w:val="0"/>
                <w:sz w:val="22"/>
              </w:rPr>
              <w:t>Bharat Heavy Electricals (BHEL)</w:t>
            </w:r>
          </w:p>
        </w:tc>
        <w:tc>
          <w:tcPr>
            <w:tcW w:type="dxa" w:w="2551"/>
          </w:tcPr>
          <w:p>
            <w:pPr>
              <w:spacing w:before="0" w:after="0"/>
              <w:jc w:val="left"/>
            </w:pPr>
            <w:r>
              <w:rPr>
                <w:rFonts w:ascii="Arial" w:hAnsi="Arial"/>
                <w:b w:val="0"/>
                <w:sz w:val="22"/>
              </w:rPr>
              <w:t>Hitachi Construction Machinery</w:t>
            </w:r>
          </w:p>
        </w:tc>
        <w:tc>
          <w:tcPr>
            <w:tcW w:type="dxa" w:w="2551"/>
          </w:tcPr>
          <w:p>
            <w:pPr>
              <w:spacing w:before="0" w:after="0"/>
              <w:jc w:val="left"/>
            </w:pPr>
            <w:r>
              <w:rPr>
                <w:rFonts w:ascii="Arial" w:hAnsi="Arial"/>
                <w:b w:val="0"/>
                <w:sz w:val="22"/>
              </w:rPr>
              <w:t>Centrifugal compressors</w:t>
            </w:r>
          </w:p>
        </w:tc>
        <w:tc>
          <w:tcPr>
            <w:tcW w:type="dxa" w:w="2551"/>
          </w:tcPr>
          <w:p>
            <w:pPr>
              <w:spacing w:before="0" w:after="0"/>
              <w:jc w:val="left"/>
            </w:pPr>
            <w:r>
              <w:rPr>
                <w:rFonts w:ascii="Arial" w:hAnsi="Arial"/>
                <w:b w:val="0"/>
                <w:sz w:val="22"/>
              </w:rPr>
              <w:t>Vibration analysis Operational efficiency tests</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Bellows Sealed Valves</w:t>
            </w:r>
          </w:p>
        </w:tc>
        <w:tc>
          <w:tcPr>
            <w:tcW w:type="dxa" w:w="2551"/>
          </w:tcPr>
          <w:p>
            <w:pPr>
              <w:spacing w:before="0" w:after="0"/>
              <w:jc w:val="left"/>
            </w:pPr>
            <w:r>
              <w:rPr>
                <w:rFonts w:ascii="Arial" w:hAnsi="Arial"/>
                <w:b w:val="0"/>
                <w:sz w:val="22"/>
              </w:rPr>
              <w:t>Visual and Dimensional Inspection Documentation Review Pressure Test</w:t>
            </w:r>
          </w:p>
        </w:tc>
      </w:tr>
      <w:tr>
        <w:tc>
          <w:tcPr>
            <w:tcW w:type="dxa" w:w="2551"/>
          </w:tcPr>
          <w:p>
            <w:pPr>
              <w:spacing w:before="0" w:after="0"/>
              <w:jc w:val="left"/>
            </w:pPr>
            <w:r>
              <w:rPr>
                <w:rFonts w:ascii="Arial" w:hAnsi="Arial"/>
                <w:b w:val="0"/>
                <w:sz w:val="22"/>
              </w:rPr>
              <w:t>CIRCOR International</w:t>
            </w:r>
          </w:p>
        </w:tc>
        <w:tc>
          <w:tcPr>
            <w:tcW w:type="dxa" w:w="2551"/>
          </w:tcPr>
          <w:p>
            <w:pPr>
              <w:spacing w:before="0" w:after="0"/>
              <w:jc w:val="left"/>
            </w:pPr>
            <w:r>
              <w:rPr>
                <w:rFonts w:ascii="Arial" w:hAnsi="Arial"/>
                <w:b w:val="0"/>
                <w:sz w:val="22"/>
              </w:rPr>
              <w:t>Valmet</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Visual and Dimensional Inspection Pressure Test</w:t>
            </w:r>
          </w:p>
        </w:tc>
      </w:tr>
      <w:tr>
        <w:tc>
          <w:tcPr>
            <w:tcW w:type="dxa" w:w="2551"/>
          </w:tcPr>
          <w:p>
            <w:pPr>
              <w:spacing w:before="0" w:after="0"/>
              <w:jc w:val="left"/>
            </w:pPr>
            <w:r>
              <w:rPr>
                <w:rFonts w:ascii="Arial" w:hAnsi="Arial"/>
                <w:b w:val="0"/>
                <w:sz w:val="22"/>
              </w:rPr>
              <w:t>Mitsubishi Heavy Industries</w:t>
            </w:r>
          </w:p>
        </w:tc>
        <w:tc>
          <w:tcPr>
            <w:tcW w:type="dxa" w:w="2551"/>
          </w:tcPr>
          <w:p>
            <w:pPr>
              <w:spacing w:before="0" w:after="0"/>
              <w:jc w:val="left"/>
            </w:pPr>
            <w:r>
              <w:rPr>
                <w:rFonts w:ascii="Arial" w:hAnsi="Arial"/>
                <w:b w:val="0"/>
                <w:sz w:val="22"/>
              </w:rPr>
              <w:t>Doosan</w:t>
            </w:r>
          </w:p>
        </w:tc>
        <w:tc>
          <w:tcPr>
            <w:tcW w:type="dxa" w:w="2551"/>
          </w:tcPr>
          <w:p>
            <w:pPr>
              <w:spacing w:before="0" w:after="0"/>
              <w:jc w:val="left"/>
            </w:pPr>
            <w:r>
              <w:rPr>
                <w:rFonts w:ascii="Arial" w:hAnsi="Arial"/>
                <w:b w:val="0"/>
                <w:sz w:val="22"/>
              </w:rPr>
              <w:t>Welded heat exchanger</w:t>
            </w:r>
          </w:p>
        </w:tc>
        <w:tc>
          <w:tcPr>
            <w:tcW w:type="dxa" w:w="2551"/>
          </w:tcPr>
          <w:p>
            <w:pPr>
              <w:spacing w:before="0" w:after="0"/>
              <w:jc w:val="left"/>
            </w:pPr>
            <w:r>
              <w:rPr>
                <w:rFonts w:ascii="Arial" w:hAnsi="Arial"/>
                <w:b w:val="0"/>
                <w:sz w:val="22"/>
              </w:rPr>
              <w:t>Visual and Dimensional Inspection NDT Functional Check</w:t>
            </w:r>
          </w:p>
        </w:tc>
      </w:tr>
      <w:tr>
        <w:tc>
          <w:tcPr>
            <w:tcW w:type="dxa" w:w="2551"/>
          </w:tcPr>
          <w:p>
            <w:pPr>
              <w:spacing w:before="0" w:after="0"/>
              <w:jc w:val="left"/>
            </w:pPr>
            <w:r>
              <w:rPr>
                <w:rFonts w:ascii="Arial" w:hAnsi="Arial"/>
                <w:b w:val="0"/>
                <w:sz w:val="22"/>
              </w:rPr>
              <w:t>Tranter, Chalon sur Saone</w:t>
            </w:r>
          </w:p>
        </w:tc>
        <w:tc>
          <w:tcPr>
            <w:tcW w:type="dxa" w:w="2551"/>
          </w:tcPr>
          <w:p>
            <w:pPr>
              <w:spacing w:before="0" w:after="0"/>
              <w:jc w:val="left"/>
            </w:pPr>
            <w:r>
              <w:rPr>
                <w:rFonts w:ascii="Arial" w:hAnsi="Arial"/>
                <w:b w:val="0"/>
                <w:sz w:val="22"/>
              </w:rPr>
              <w:t>Johnson Controls</w:t>
            </w:r>
          </w:p>
        </w:tc>
        <w:tc>
          <w:tcPr>
            <w:tcW w:type="dxa" w:w="2551"/>
          </w:tcPr>
          <w:p>
            <w:pPr>
              <w:spacing w:before="0" w:after="0"/>
              <w:jc w:val="left"/>
            </w:pPr>
            <w:r>
              <w:rPr>
                <w:rFonts w:ascii="Arial" w:hAnsi="Arial"/>
                <w:b w:val="0"/>
                <w:sz w:val="22"/>
              </w:rPr>
              <w:t>Heat exchanger</w:t>
            </w:r>
          </w:p>
        </w:tc>
        <w:tc>
          <w:tcPr>
            <w:tcW w:type="dxa" w:w="2551"/>
          </w:tcPr>
          <w:p>
            <w:pPr>
              <w:spacing w:before="0" w:after="0"/>
              <w:jc w:val="left"/>
            </w:pPr>
            <w:r>
              <w:rPr>
                <w:rFonts w:ascii="Arial" w:hAnsi="Arial"/>
                <w:b w:val="0"/>
                <w:sz w:val="22"/>
              </w:rPr>
              <w:t>PMI Functional Test Documentation Review Final Inspection</w:t>
            </w:r>
          </w:p>
        </w:tc>
      </w:tr>
      <w:tr>
        <w:tc>
          <w:tcPr>
            <w:tcW w:type="dxa" w:w="2551"/>
          </w:tcPr>
          <w:p>
            <w:pPr>
              <w:spacing w:before="0" w:after="0"/>
              <w:jc w:val="left"/>
            </w:pPr>
            <w:r>
              <w:rPr>
                <w:rFonts w:ascii="Arial" w:hAnsi="Arial"/>
                <w:b w:val="0"/>
                <w:sz w:val="22"/>
              </w:rPr>
              <w:t>EVAPCO</w:t>
            </w:r>
          </w:p>
        </w:tc>
        <w:tc>
          <w:tcPr>
            <w:tcW w:type="dxa" w:w="2551"/>
          </w:tcPr>
          <w:p>
            <w:pPr>
              <w:spacing w:before="0" w:after="0"/>
              <w:jc w:val="left"/>
            </w:pPr>
            <w:r>
              <w:rPr>
                <w:rFonts w:ascii="Arial" w:hAnsi="Arial"/>
                <w:b w:val="0"/>
                <w:sz w:val="22"/>
              </w:rPr>
              <w:t>SPX Cooling Technologies</w:t>
            </w:r>
          </w:p>
        </w:tc>
        <w:tc>
          <w:tcPr>
            <w:tcW w:type="dxa" w:w="2551"/>
          </w:tcPr>
          <w:p>
            <w:pPr>
              <w:spacing w:before="0" w:after="0"/>
              <w:jc w:val="left"/>
            </w:pPr>
            <w:r>
              <w:rPr>
                <w:rFonts w:ascii="Arial" w:hAnsi="Arial"/>
                <w:b w:val="0"/>
                <w:sz w:val="22"/>
              </w:rPr>
              <w:t>Welded block heat exchanger</w:t>
            </w:r>
          </w:p>
        </w:tc>
        <w:tc>
          <w:tcPr>
            <w:tcW w:type="dxa" w:w="2551"/>
          </w:tcPr>
          <w:p>
            <w:pPr>
              <w:spacing w:before="0" w:after="0"/>
              <w:jc w:val="left"/>
            </w:pPr>
            <w:r>
              <w:rPr>
                <w:rFonts w:ascii="Arial" w:hAnsi="Arial"/>
                <w:b w:val="0"/>
                <w:sz w:val="22"/>
              </w:rPr>
              <w:t>Visual and Dimensional Inspection NDT Functional Check</w:t>
            </w:r>
          </w:p>
        </w:tc>
      </w:tr>
      <w:tr>
        <w:tc>
          <w:tcPr>
            <w:tcW w:type="dxa" w:w="2551"/>
          </w:tcPr>
          <w:p>
            <w:pPr>
              <w:spacing w:before="0" w:after="0"/>
              <w:jc w:val="left"/>
            </w:pPr>
            <w:r>
              <w:rPr>
                <w:rFonts w:ascii="Arial" w:hAnsi="Arial"/>
                <w:b w:val="0"/>
                <w:sz w:val="22"/>
              </w:rPr>
              <w:t>ExxonMobil</w:t>
            </w:r>
          </w:p>
        </w:tc>
        <w:tc>
          <w:tcPr>
            <w:tcW w:type="dxa" w:w="2551"/>
          </w:tcPr>
          <w:p>
            <w:pPr>
              <w:spacing w:before="0" w:after="0"/>
              <w:jc w:val="left"/>
            </w:pPr>
            <w:r>
              <w:rPr>
                <w:rFonts w:ascii="Arial" w:hAnsi="Arial"/>
                <w:b w:val="0"/>
                <w:sz w:val="22"/>
              </w:rPr>
              <w:t>Qatar Petroleum</w:t>
            </w:r>
          </w:p>
        </w:tc>
        <w:tc>
          <w:tcPr>
            <w:tcW w:type="dxa" w:w="2551"/>
          </w:tcPr>
          <w:p>
            <w:pPr>
              <w:spacing w:before="0" w:after="0"/>
              <w:jc w:val="left"/>
            </w:pPr>
            <w:r>
              <w:rPr>
                <w:rFonts w:ascii="Arial" w:hAnsi="Arial"/>
                <w:b w:val="0"/>
                <w:sz w:val="22"/>
              </w:rPr>
              <w:t>Centrifugal Compressor</w:t>
            </w:r>
          </w:p>
        </w:tc>
        <w:tc>
          <w:tcPr>
            <w:tcW w:type="dxa" w:w="2551"/>
          </w:tcPr>
          <w:p>
            <w:pPr>
              <w:spacing w:before="0" w:after="0"/>
              <w:jc w:val="left"/>
            </w:pPr>
            <w:r>
              <w:rPr>
                <w:rFonts w:ascii="Arial" w:hAnsi="Arial"/>
                <w:b w:val="0"/>
                <w:sz w:val="22"/>
              </w:rPr>
              <w:t>Visual and Dimensional Inspection Performance Documentation Review</w:t>
            </w:r>
          </w:p>
        </w:tc>
      </w:tr>
      <w:tr>
        <w:tc>
          <w:tcPr>
            <w:tcW w:type="dxa" w:w="2551"/>
          </w:tcPr>
          <w:p>
            <w:pPr>
              <w:spacing w:before="0" w:after="0"/>
              <w:jc w:val="left"/>
            </w:pPr>
            <w:r>
              <w:rPr>
                <w:rFonts w:ascii="Arial" w:hAnsi="Arial"/>
                <w:b w:val="0"/>
                <w:sz w:val="22"/>
              </w:rPr>
              <w:t>Eaton</w:t>
            </w:r>
          </w:p>
        </w:tc>
        <w:tc>
          <w:tcPr>
            <w:tcW w:type="dxa" w:w="2551"/>
          </w:tcPr>
          <w:p>
            <w:pPr>
              <w:spacing w:before="0" w:after="0"/>
              <w:jc w:val="left"/>
            </w:pPr>
            <w:r>
              <w:rPr>
                <w:rFonts w:ascii="Arial" w:hAnsi="Arial"/>
                <w:b w:val="0"/>
                <w:sz w:val="22"/>
              </w:rPr>
              <w:t>Saudi Electricity Company</w:t>
            </w:r>
          </w:p>
        </w:tc>
        <w:tc>
          <w:tcPr>
            <w:tcW w:type="dxa" w:w="2551"/>
          </w:tcPr>
          <w:p>
            <w:pPr>
              <w:spacing w:before="0" w:after="0"/>
              <w:jc w:val="left"/>
            </w:pPr>
            <w:r>
              <w:rPr>
                <w:rFonts w:ascii="Arial" w:hAnsi="Arial"/>
                <w:b w:val="0"/>
                <w:sz w:val="22"/>
              </w:rPr>
              <w:t>UPS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Masdar</w:t>
            </w:r>
          </w:p>
        </w:tc>
        <w:tc>
          <w:tcPr>
            <w:tcW w:type="dxa" w:w="2551"/>
          </w:tcPr>
          <w:p>
            <w:pPr>
              <w:spacing w:before="0" w:after="0"/>
              <w:jc w:val="left"/>
            </w:pPr>
            <w:r>
              <w:rPr>
                <w:rFonts w:ascii="Arial" w:hAnsi="Arial"/>
                <w:b w:val="0"/>
                <w:sz w:val="22"/>
              </w:rPr>
              <w:t>AcwaPower</w:t>
            </w:r>
          </w:p>
        </w:tc>
        <w:tc>
          <w:tcPr>
            <w:tcW w:type="dxa" w:w="2551"/>
          </w:tcPr>
          <w:p>
            <w:pPr>
              <w:spacing w:before="0" w:after="0"/>
              <w:jc w:val="left"/>
            </w:pPr>
            <w:r>
              <w:rPr>
                <w:rFonts w:ascii="Arial" w:hAnsi="Arial"/>
                <w:b w:val="0"/>
                <w:sz w:val="22"/>
              </w:rPr>
              <w:t>UPS System</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Siemens Energy</w:t>
            </w:r>
          </w:p>
        </w:tc>
        <w:tc>
          <w:tcPr>
            <w:tcW w:type="dxa" w:w="2551"/>
          </w:tcPr>
          <w:p>
            <w:pPr>
              <w:spacing w:before="0" w:after="0"/>
              <w:jc w:val="left"/>
            </w:pPr>
            <w:r>
              <w:rPr>
                <w:rFonts w:ascii="Arial" w:hAnsi="Arial"/>
                <w:b w:val="0"/>
                <w:sz w:val="22"/>
              </w:rPr>
              <w:t>Enel</w:t>
            </w:r>
          </w:p>
        </w:tc>
        <w:tc>
          <w:tcPr>
            <w:tcW w:type="dxa" w:w="2551"/>
          </w:tcPr>
          <w:p>
            <w:pPr>
              <w:spacing w:before="0" w:after="0"/>
              <w:jc w:val="left"/>
            </w:pPr>
            <w:r>
              <w:rPr>
                <w:rFonts w:ascii="Arial" w:hAnsi="Arial"/>
                <w:b w:val="0"/>
                <w:sz w:val="22"/>
              </w:rPr>
              <w:t>Circuit breaker HV withstand (2kV/1min)</w:t>
            </w:r>
          </w:p>
        </w:tc>
        <w:tc>
          <w:tcPr>
            <w:tcW w:type="dxa" w:w="2551"/>
          </w:tcPr>
          <w:p>
            <w:pPr>
              <w:spacing w:before="0" w:after="0"/>
              <w:jc w:val="left"/>
            </w:pPr>
            <w:r>
              <w:rPr>
                <w:rFonts w:ascii="Arial" w:hAnsi="Arial"/>
                <w:b w:val="0"/>
                <w:sz w:val="22"/>
              </w:rPr>
              <w:t>Short-circuit withstand testing</w:t>
            </w:r>
          </w:p>
        </w:tc>
      </w:tr>
      <w:tr>
        <w:tc>
          <w:tcPr>
            <w:tcW w:type="dxa" w:w="2551"/>
          </w:tcPr>
          <w:p>
            <w:pPr>
              <w:spacing w:before="0" w:after="0"/>
              <w:jc w:val="left"/>
            </w:pPr>
            <w:r>
              <w:rPr>
                <w:rFonts w:ascii="Arial" w:hAnsi="Arial"/>
                <w:b w:val="0"/>
                <w:sz w:val="22"/>
              </w:rPr>
              <w:t>Ebara Corporation, Dijon</w:t>
            </w:r>
          </w:p>
        </w:tc>
        <w:tc>
          <w:tcPr>
            <w:tcW w:type="dxa" w:w="2551"/>
          </w:tcPr>
          <w:p>
            <w:pPr>
              <w:spacing w:before="0" w:after="0"/>
              <w:jc w:val="left"/>
            </w:pPr>
            <w:r>
              <w:rPr>
                <w:rFonts w:ascii="Arial" w:hAnsi="Arial"/>
                <w:b w:val="0"/>
                <w:sz w:val="22"/>
              </w:rPr>
              <w:t>Chevron</w:t>
            </w:r>
          </w:p>
        </w:tc>
        <w:tc>
          <w:tcPr>
            <w:tcW w:type="dxa" w:w="2551"/>
          </w:tcPr>
          <w:p>
            <w:pPr>
              <w:spacing w:before="0" w:after="0"/>
              <w:jc w:val="left"/>
            </w:pPr>
            <w:r>
              <w:rPr>
                <w:rFonts w:ascii="Arial" w:hAnsi="Arial"/>
                <w:b w:val="0"/>
                <w:sz w:val="22"/>
              </w:rPr>
              <w:t>Centrifugal Pumps</w:t>
            </w:r>
          </w:p>
        </w:tc>
        <w:tc>
          <w:tcPr>
            <w:tcW w:type="dxa" w:w="2551"/>
          </w:tcPr>
          <w:p>
            <w:pPr>
              <w:spacing w:before="0" w:after="0"/>
              <w:jc w:val="left"/>
            </w:pPr>
            <w:r>
              <w:rPr>
                <w:rFonts w:ascii="Arial" w:hAnsi="Arial"/>
                <w:b w:val="0"/>
                <w:sz w:val="22"/>
              </w:rPr>
              <w:t>Visual and Dimensional Inspection Performance Documentation Review</w:t>
            </w:r>
          </w:p>
        </w:tc>
      </w:tr>
      <w:tr>
        <w:tc>
          <w:tcPr>
            <w:tcW w:type="dxa" w:w="2551"/>
          </w:tcPr>
          <w:p>
            <w:pPr>
              <w:spacing w:before="0" w:after="0"/>
              <w:jc w:val="left"/>
            </w:pPr>
            <w:r>
              <w:rPr>
                <w:rFonts w:ascii="Arial" w:hAnsi="Arial"/>
                <w:b w:val="0"/>
                <w:sz w:val="22"/>
              </w:rPr>
              <w:t>Mammoet</w:t>
            </w:r>
          </w:p>
        </w:tc>
        <w:tc>
          <w:tcPr>
            <w:tcW w:type="dxa" w:w="2551"/>
          </w:tcPr>
          <w:p>
            <w:pPr>
              <w:spacing w:before="0" w:after="0"/>
              <w:jc w:val="left"/>
            </w:pPr>
            <w:r>
              <w:rPr>
                <w:rFonts w:ascii="Arial" w:hAnsi="Arial"/>
                <w:b w:val="0"/>
                <w:sz w:val="22"/>
              </w:rPr>
              <w:t>TotalEnergies</w:t>
            </w:r>
          </w:p>
        </w:tc>
        <w:tc>
          <w:tcPr>
            <w:tcW w:type="dxa" w:w="2551"/>
          </w:tcPr>
          <w:p>
            <w:pPr>
              <w:spacing w:before="0" w:after="0"/>
              <w:jc w:val="left"/>
            </w:pPr>
            <w:r>
              <w:rPr>
                <w:rFonts w:ascii="Arial" w:hAnsi="Arial"/>
                <w:b w:val="0"/>
                <w:sz w:val="22"/>
              </w:rPr>
              <w:t>40T pneumatic hoist</w:t>
            </w:r>
          </w:p>
        </w:tc>
        <w:tc>
          <w:tcPr>
            <w:tcW w:type="dxa" w:w="2551"/>
          </w:tcPr>
          <w:p>
            <w:pPr>
              <w:spacing w:before="0" w:after="0"/>
              <w:jc w:val="left"/>
            </w:pPr>
            <w:r>
              <w:rPr>
                <w:rFonts w:ascii="Arial" w:hAnsi="Arial"/>
                <w:b w:val="0"/>
                <w:sz w:val="22"/>
              </w:rPr>
              <w:t>dynamic load test</w:t>
            </w:r>
          </w:p>
        </w:tc>
      </w:tr>
      <w:tr>
        <w:tc>
          <w:tcPr>
            <w:tcW w:type="dxa" w:w="2551"/>
          </w:tcPr>
          <w:p>
            <w:pPr>
              <w:spacing w:before="0" w:after="0"/>
              <w:jc w:val="left"/>
            </w:pPr>
            <w:r>
              <w:rPr>
                <w:rFonts w:ascii="Arial" w:hAnsi="Arial"/>
                <w:b w:val="0"/>
                <w:sz w:val="22"/>
              </w:rPr>
              <w:t>thyssenkrupp Industrial Solutions, Mâcon</w:t>
            </w:r>
          </w:p>
        </w:tc>
        <w:tc>
          <w:tcPr>
            <w:tcW w:type="dxa" w:w="2551"/>
          </w:tcPr>
          <w:p>
            <w:pPr>
              <w:spacing w:before="0" w:after="0"/>
              <w:jc w:val="left"/>
            </w:pPr>
            <w:r>
              <w:rPr>
                <w:rFonts w:ascii="Arial" w:hAnsi="Arial"/>
                <w:b w:val="0"/>
                <w:sz w:val="22"/>
              </w:rPr>
              <w:t>Sandvik</w:t>
            </w:r>
          </w:p>
        </w:tc>
        <w:tc>
          <w:tcPr>
            <w:tcW w:type="dxa" w:w="2551"/>
          </w:tcPr>
          <w:p>
            <w:pPr>
              <w:spacing w:before="0" w:after="0"/>
              <w:jc w:val="left"/>
            </w:pPr>
            <w:r>
              <w:rPr>
                <w:rFonts w:ascii="Arial" w:hAnsi="Arial"/>
                <w:b w:val="0"/>
                <w:sz w:val="22"/>
              </w:rPr>
              <w:t>Crusher wear component</w:t>
            </w:r>
          </w:p>
        </w:tc>
        <w:tc>
          <w:tcPr>
            <w:tcW w:type="dxa" w:w="2551"/>
          </w:tcPr>
          <w:p>
            <w:pPr>
              <w:spacing w:before="0" w:after="0"/>
              <w:jc w:val="left"/>
            </w:pPr>
            <w:r>
              <w:rPr>
                <w:rFonts w:ascii="Arial" w:hAnsi="Arial"/>
                <w:b w:val="0"/>
                <w:sz w:val="22"/>
              </w:rPr>
              <w:t>Hardness Test</w:t>
            </w:r>
          </w:p>
        </w:tc>
      </w:tr>
      <w:tr>
        <w:tc>
          <w:tcPr>
            <w:tcW w:type="dxa" w:w="2551"/>
          </w:tcPr>
          <w:p>
            <w:pPr>
              <w:spacing w:before="0" w:after="0"/>
              <w:jc w:val="left"/>
            </w:pPr>
            <w:r>
              <w:rPr>
                <w:rFonts w:ascii="Arial" w:hAnsi="Arial"/>
                <w:b w:val="0"/>
                <w:sz w:val="22"/>
              </w:rPr>
              <w:t>Nippon Steel,</w:t>
            </w:r>
          </w:p>
        </w:tc>
        <w:tc>
          <w:tcPr>
            <w:tcW w:type="dxa" w:w="2551"/>
          </w:tcPr>
          <w:p>
            <w:pPr>
              <w:spacing w:before="0" w:after="0"/>
              <w:jc w:val="left"/>
            </w:pPr>
            <w:r>
              <w:rPr>
                <w:rFonts w:ascii="Arial" w:hAnsi="Arial"/>
                <w:b w:val="0"/>
                <w:sz w:val="22"/>
              </w:rPr>
              <w:t>TechnipFMC</w:t>
            </w:r>
          </w:p>
        </w:tc>
        <w:tc>
          <w:tcPr>
            <w:tcW w:type="dxa" w:w="2551"/>
          </w:tcPr>
          <w:p>
            <w:pPr>
              <w:spacing w:before="0" w:after="0"/>
              <w:jc w:val="left"/>
            </w:pPr>
            <w:r>
              <w:rPr>
                <w:rFonts w:ascii="Arial" w:hAnsi="Arial"/>
                <w:b w:val="0"/>
                <w:sz w:val="22"/>
              </w:rPr>
              <w:t>Clad plate</w:t>
            </w:r>
          </w:p>
        </w:tc>
        <w:tc>
          <w:tcPr>
            <w:tcW w:type="dxa" w:w="2551"/>
          </w:tcPr>
          <w:p>
            <w:pPr>
              <w:spacing w:before="0" w:after="0"/>
              <w:jc w:val="left"/>
            </w:pPr>
            <w:r>
              <w:rPr>
                <w:rFonts w:ascii="Arial" w:hAnsi="Arial"/>
                <w:b w:val="0"/>
                <w:sz w:val="22"/>
              </w:rPr>
              <w:t>HIC Resistance</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French</w:t>
      </w:r>
    </w:p>
    <w:p>
      <w:pPr>
        <w:pStyle w:val="ListBullet"/>
        <w:spacing w:before="0" w:after="0"/>
        <w:ind w:left="720" w:hanging="360"/>
        <w:jc w:val="both"/>
      </w:pPr>
      <w:r>
        <w:rPr>
          <w:rFonts w:ascii="Arial" w:hAnsi="Arial"/>
          <w:b w:val="0"/>
          <w:sz w:val="22"/>
        </w:rPr>
        <w:t>Hindi</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Control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Auditing</w:t>
      </w:r>
    </w:p>
    <w:p>
      <w:pPr>
        <w:pStyle w:val="ListBullet"/>
        <w:spacing w:before="0" w:after="0"/>
        <w:ind w:left="720" w:hanging="360"/>
        <w:jc w:val="both"/>
      </w:pPr>
      <w:r>
        <w:rPr>
          <w:rFonts w:ascii="Arial" w:hAnsi="Arial"/>
          <w:b w:val="0"/>
          <w:sz w:val="22"/>
        </w:rPr>
        <w:t>Non-Destructive Testing (NDT)</w:t>
      </w:r>
    </w:p>
    <w:p>
      <w:pPr>
        <w:pStyle w:val="ListBullet"/>
        <w:spacing w:before="0" w:after="0"/>
        <w:ind w:left="720" w:hanging="360"/>
        <w:jc w:val="both"/>
      </w:pPr>
      <w:r>
        <w:rPr>
          <w:rFonts w:ascii="Arial" w:hAnsi="Arial"/>
          <w:b w:val="0"/>
          <w:sz w:val="22"/>
        </w:rPr>
        <w:t>Material Verification / PMI-XRF</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Factory Acceptance Testing (FAT)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Nonconformity Resolution</w:t>
      </w:r>
    </w:p>
    <w:p>
      <w:pPr>
        <w:pStyle w:val="ListBullet"/>
        <w:spacing w:before="0" w:after="0"/>
        <w:ind w:left="720" w:hanging="360"/>
        <w:jc w:val="both"/>
      </w:pPr>
      <w:r>
        <w:rPr>
          <w:rFonts w:ascii="Arial" w:hAnsi="Arial"/>
          <w:b w:val="0"/>
          <w:sz w:val="22"/>
        </w:rPr>
        <w:t>Supply Chain Optimization</w:t>
      </w:r>
    </w:p>
    <w:p>
      <w:pPr>
        <w:pStyle w:val="ListBullet"/>
        <w:spacing w:before="0" w:after="0"/>
        <w:ind w:left="720" w:hanging="360"/>
        <w:jc w:val="both"/>
      </w:pPr>
      <w:r>
        <w:rPr>
          <w:rFonts w:ascii="Arial" w:hAnsi="Arial"/>
          <w:b w:val="0"/>
          <w:sz w:val="22"/>
        </w:rPr>
        <w:t>Regulatory Compliance</w:t>
      </w:r>
    </w:p>
    <w:p>
      <w:pPr>
        <w:pStyle w:val="ListBullet"/>
        <w:spacing w:before="0" w:after="0"/>
        <w:ind w:left="720" w:hanging="360"/>
        <w:jc w:val="both"/>
      </w:pPr>
      <w:r>
        <w:rPr>
          <w:rFonts w:ascii="Arial" w:hAnsi="Arial"/>
          <w:b w:val="0"/>
          <w:sz w:val="22"/>
        </w:rPr>
        <w:t>Risk Mitigation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Fittings &amp; Flanges</w:t>
      </w:r>
    </w:p>
    <w:p>
      <w:pPr>
        <w:pStyle w:val="ListBullet"/>
        <w:spacing w:before="0" w:after="0"/>
        <w:ind w:left="720" w:hanging="360"/>
        <w:jc w:val="both"/>
      </w:pPr>
      <w:r>
        <w:rPr>
          <w:rFonts w:ascii="Arial" w:hAnsi="Arial"/>
          <w:b w:val="0"/>
          <w:sz w:val="22"/>
        </w:rPr>
        <w:t>Castings &amp; Forgings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Lube Oil Consoles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Circuit Breakers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Hoists</w:t>
      </w:r>
    </w:p>
    <w:p>
      <w:pPr>
        <w:pStyle w:val="ListBullet"/>
        <w:spacing w:before="0" w:after="0"/>
        <w:ind w:left="720" w:hanging="360"/>
        <w:jc w:val="both"/>
      </w:pPr>
      <w:r>
        <w:rPr>
          <w:rFonts w:ascii="Arial" w:hAnsi="Arial"/>
          <w:b w:val="0"/>
          <w:sz w:val="22"/>
        </w:rPr>
        <w:t>Skid-Mounted Systems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Conveyors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Drums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Centrifuges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