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RAZVAN VASII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Razvan Vasii is a third-party inspector with 10 years of experience in quality assurance, quality control, expediting and related manufacturing disciplines. He has worked as a supervisor, inspector and expeditor, applying inspection techniques, testing procedures and formal quality programs across projects in Europe, the United States and Canada. His industry experience spans aluminum, bulk material handling, pulp and paper, mining, piping, power generation, mass transit, petrochemical, marine, transportation and process industries. He has provided source and site inspection, vendor quality surveillance and expediting, witnessed NDE, mechanical and performance testing, and reviewed data packages and history dockets. His equipment experience includes pressure vessels, storage tanks, pumps, valves, piping, conveyors, structural steel, railcar equipment and other major industrial systems.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Bachelor’s Degree in Mechanical Engineering- University of Danube Bas, Romania.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Canadian Welding Bureau- Visual Welding Inspector Level 1 – ongoing.</w:t>
      </w:r>
    </w:p>
    <w:p>
      <w:pPr>
        <w:pStyle w:val="ListBullet"/>
        <w:spacing w:before="0" w:after="0"/>
        <w:ind w:left="720" w:hanging="360"/>
        <w:jc w:val="both"/>
      </w:pPr>
      <w:r>
        <w:rPr>
          <w:rFonts w:ascii="Arial" w:hAnsi="Arial"/>
          <w:b w:val="0"/>
          <w:sz w:val="22"/>
        </w:rPr>
        <w:t>ISO 9001-2000 Series Training Courses – Romania</w:t>
      </w:r>
    </w:p>
    <w:p>
      <w:pPr>
        <w:pStyle w:val="ListBullet"/>
        <w:spacing w:before="0" w:after="0"/>
        <w:ind w:left="720" w:hanging="360"/>
        <w:jc w:val="both"/>
      </w:pPr>
      <w:r>
        <w:rPr>
          <w:rFonts w:ascii="Arial" w:hAnsi="Arial"/>
          <w:b w:val="0"/>
          <w:sz w:val="22"/>
        </w:rPr>
        <w:t>CSA Z-299 Series Quality Programs Training Courses – Hatch Ltd. (in-house training)</w:t>
      </w:r>
    </w:p>
    <w:p>
      <w:pPr>
        <w:pStyle w:val="ListBullet"/>
        <w:spacing w:before="0" w:after="0"/>
        <w:ind w:left="720" w:hanging="360"/>
        <w:jc w:val="both"/>
      </w:pPr>
      <w:r>
        <w:rPr>
          <w:rFonts w:ascii="Arial" w:hAnsi="Arial"/>
          <w:b w:val="0"/>
          <w:sz w:val="22"/>
        </w:rPr>
        <w:t>ASP Health &amp; Safety Course - Government of Quebec, Ministry of Education, Montreal, Quebec, Canada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2015 – PRESENT</w:t>
      </w:r>
    </w:p>
    <w:p>
      <w:pPr>
        <w:spacing w:before="0" w:after="0"/>
        <w:jc w:val="left"/>
      </w:pPr>
      <w:r>
        <w:rPr>
          <w:rFonts w:ascii="Arial" w:hAnsi="Arial"/>
          <w:b/>
          <w:sz w:val="22"/>
        </w:rPr>
        <w:t>TPI AGENCY</w:t>
      </w:r>
    </w:p>
    <w:p>
      <w:pPr>
        <w:spacing w:before="0" w:after="0"/>
        <w:jc w:val="left"/>
      </w:pPr>
      <w:r>
        <w:rPr>
          <w:rFonts w:ascii="Arial" w:hAnsi="Arial"/>
          <w:b/>
          <w:sz w:val="22"/>
        </w:rPr>
        <w:t>THIRD-PARTY INSPECTOR &amp; EXPEDITER</w:t>
      </w:r>
    </w:p>
    <w:p>
      <w:pPr>
        <w:pStyle w:val="ListBullet"/>
        <w:spacing w:before="0" w:after="0"/>
        <w:ind w:left="720" w:hanging="360"/>
        <w:jc w:val="both"/>
      </w:pPr>
      <w:r>
        <w:rPr>
          <w:rFonts w:ascii="Arial" w:hAnsi="Arial"/>
          <w:b w:val="0"/>
          <w:sz w:val="22"/>
        </w:rPr>
        <w:t>Provided inspection and expediting services to a wide range of industrial sectors, including bulk material handling, petrochemical, pulp and paper, mining, marine, power generation, transportation and process industries.</w:t>
      </w:r>
    </w:p>
    <w:p>
      <w:pPr>
        <w:pStyle w:val="ListBullet"/>
        <w:spacing w:before="0" w:after="0"/>
        <w:ind w:left="720" w:hanging="360"/>
        <w:jc w:val="both"/>
      </w:pPr>
      <w:r>
        <w:rPr>
          <w:rFonts w:ascii="Arial" w:hAnsi="Arial"/>
          <w:b w:val="0"/>
          <w:sz w:val="22"/>
        </w:rPr>
        <w:t>Serviced major clients including SNC Lavalin, Hatch, TetraTech, Asea Brown Boveri (ABB), Bechtel, Abitibi Bowater, Bombardier, Alcoa, Rio Tinto and Aluminerie Alouette.</w:t>
      </w:r>
    </w:p>
    <w:p>
      <w:pPr>
        <w:pStyle w:val="ListBullet"/>
        <w:spacing w:before="0" w:after="0"/>
        <w:ind w:left="720" w:hanging="360"/>
        <w:jc w:val="both"/>
      </w:pPr>
      <w:r>
        <w:rPr>
          <w:rFonts w:ascii="Arial" w:hAnsi="Arial"/>
          <w:b w:val="0"/>
          <w:sz w:val="22"/>
        </w:rPr>
        <w:t>Inspected or expedited equipment including a converter for an aluminum smelter, pollution control equipment, railcar dumper and train positioner, ship loader, stacker reclaimer, motor control centre, pumps, valves, major piping, conveyors, tanks, fans, blowers, silos, ducting, structural steel and HVAC.</w:t>
      </w:r>
    </w:p>
    <w:p>
      <w:pPr>
        <w:pStyle w:val="ListBullet"/>
        <w:spacing w:before="0" w:after="0"/>
        <w:ind w:left="720" w:hanging="360"/>
        <w:jc w:val="both"/>
      </w:pPr>
      <w:r>
        <w:rPr>
          <w:rFonts w:ascii="Arial" w:hAnsi="Arial"/>
          <w:b w:val="0"/>
          <w:sz w:val="22"/>
        </w:rPr>
        <w:t>Performed inspections in Canada and the United States for major pulp and paper industry clients located in the United States, Chile and New Zealand.</w:t>
      </w:r>
    </w:p>
    <w:p>
      <w:pPr>
        <w:spacing w:before="0" w:after="0"/>
      </w:pPr>
    </w:p>
    <w:p>
      <w:pPr>
        <w:spacing w:before="0" w:after="0"/>
        <w:jc w:val="left"/>
      </w:pPr>
      <w:r>
        <w:rPr>
          <w:rFonts w:ascii="Arial" w:hAnsi="Arial"/>
          <w:b/>
          <w:sz w:val="22"/>
        </w:rPr>
        <w:t>2011 – 2015</w:t>
      </w:r>
    </w:p>
    <w:p>
      <w:pPr>
        <w:spacing w:before="0" w:after="0"/>
        <w:jc w:val="left"/>
      </w:pPr>
      <w:r>
        <w:rPr>
          <w:rFonts w:ascii="Arial" w:hAnsi="Arial"/>
          <w:b/>
          <w:sz w:val="22"/>
        </w:rPr>
        <w:t>HATCH</w:t>
      </w:r>
    </w:p>
    <w:p>
      <w:pPr>
        <w:spacing w:before="0" w:after="0"/>
        <w:jc w:val="left"/>
      </w:pPr>
      <w:r>
        <w:rPr>
          <w:rFonts w:ascii="Arial" w:hAnsi="Arial"/>
          <w:b/>
          <w:sz w:val="22"/>
        </w:rPr>
        <w:t>EXPEDITING COORDINATOR/VENDOR QUALITY SURVEILLANCE</w:t>
      </w:r>
    </w:p>
    <w:p>
      <w:pPr>
        <w:pStyle w:val="ListBullet"/>
        <w:spacing w:before="0" w:after="0"/>
        <w:ind w:left="720" w:hanging="360"/>
        <w:jc w:val="both"/>
      </w:pPr>
      <w:r>
        <w:rPr>
          <w:rFonts w:ascii="Arial" w:hAnsi="Arial"/>
          <w:b w:val="0"/>
          <w:sz w:val="22"/>
        </w:rPr>
        <w:t>Reported to the Hub Procurement Manager and administered quality assurance and inspection contracts and the activities of inspectors and staff associated with the department.</w:t>
      </w:r>
    </w:p>
    <w:p>
      <w:pPr>
        <w:pStyle w:val="ListBullet"/>
        <w:spacing w:before="0" w:after="0"/>
        <w:ind w:left="720" w:hanging="360"/>
        <w:jc w:val="both"/>
      </w:pPr>
      <w:r>
        <w:rPr>
          <w:rFonts w:ascii="Arial" w:hAnsi="Arial"/>
          <w:b w:val="0"/>
          <w:sz w:val="22"/>
        </w:rPr>
        <w:t>Conducted source and site inspection and expediting.</w:t>
      </w:r>
    </w:p>
    <w:p>
      <w:pPr>
        <w:pStyle w:val="ListBullet"/>
        <w:spacing w:before="0" w:after="0"/>
        <w:ind w:left="720" w:hanging="360"/>
        <w:jc w:val="both"/>
      </w:pPr>
      <w:r>
        <w:rPr>
          <w:rFonts w:ascii="Arial" w:hAnsi="Arial"/>
          <w:b w:val="0"/>
          <w:sz w:val="22"/>
        </w:rPr>
        <w:t>Witnessed testing, including NDE, mechanical and performance testing.</w:t>
      </w:r>
    </w:p>
    <w:p>
      <w:pPr>
        <w:pStyle w:val="ListBullet"/>
        <w:spacing w:before="0" w:after="0"/>
        <w:ind w:left="720" w:hanging="360"/>
        <w:jc w:val="both"/>
      </w:pPr>
      <w:r>
        <w:rPr>
          <w:rFonts w:ascii="Arial" w:hAnsi="Arial"/>
          <w:b w:val="0"/>
          <w:sz w:val="22"/>
        </w:rPr>
        <w:t>Reviewed data packages and history dockets.</w:t>
      </w:r>
    </w:p>
    <w:p>
      <w:pPr>
        <w:spacing w:before="0" w:after="0"/>
      </w:pPr>
    </w:p>
    <w:p>
      <w:pPr>
        <w:spacing w:before="0" w:after="0"/>
        <w:jc w:val="left"/>
      </w:pPr>
      <w:r>
        <w:rPr>
          <w:rFonts w:ascii="Arial" w:hAnsi="Arial"/>
          <w:b/>
          <w:sz w:val="22"/>
        </w:rPr>
        <w:t>2004 – 2011</w:t>
      </w:r>
    </w:p>
    <w:p>
      <w:pPr>
        <w:spacing w:before="0" w:after="0"/>
        <w:jc w:val="left"/>
      </w:pPr>
      <w:r>
        <w:rPr>
          <w:rFonts w:ascii="Arial" w:hAnsi="Arial"/>
          <w:b/>
          <w:sz w:val="22"/>
        </w:rPr>
        <w:t>TPI AGENCY</w:t>
      </w:r>
    </w:p>
    <w:p>
      <w:pPr>
        <w:spacing w:before="0" w:after="0"/>
        <w:jc w:val="left"/>
      </w:pPr>
      <w:r>
        <w:rPr>
          <w:rFonts w:ascii="Arial" w:hAnsi="Arial"/>
          <w:b/>
          <w:sz w:val="22"/>
        </w:rPr>
        <w:t>PROCUREMENT &amp; QUALITY ASSURANCE CONSULTANT</w:t>
      </w:r>
    </w:p>
    <w:p>
      <w:pPr>
        <w:pStyle w:val="ListBullet"/>
        <w:spacing w:before="0" w:after="0"/>
        <w:ind w:left="720" w:hanging="360"/>
        <w:jc w:val="both"/>
      </w:pPr>
      <w:r>
        <w:rPr>
          <w:rFonts w:ascii="Arial" w:hAnsi="Arial"/>
          <w:b w:val="0"/>
          <w:sz w:val="22"/>
        </w:rPr>
        <w:t>Provided quality assurance, procurement, expediting, inspection and site material management services for clients including Zimmer (Computer Assisted Surgery), De Beers Canada, BHP Billiton, Bombardier Transport (Curtis Door Systems), Spectra Premium Industries and GSI International.</w:t>
      </w:r>
    </w:p>
    <w:p>
      <w:pPr>
        <w:spacing w:before="0" w:after="0"/>
      </w:pPr>
    </w:p>
    <w:p>
      <w:pPr>
        <w:spacing w:before="0" w:after="0"/>
        <w:jc w:val="left"/>
      </w:pPr>
      <w:r>
        <w:rPr>
          <w:rFonts w:ascii="Arial" w:hAnsi="Arial"/>
          <w:b/>
          <w:sz w:val="22"/>
        </w:rPr>
        <w:t>1996 – 2001</w:t>
      </w:r>
    </w:p>
    <w:p>
      <w:pPr>
        <w:spacing w:before="0" w:after="0"/>
        <w:jc w:val="left"/>
      </w:pPr>
      <w:r>
        <w:rPr>
          <w:rFonts w:ascii="Arial" w:hAnsi="Arial"/>
          <w:b/>
          <w:sz w:val="22"/>
        </w:rPr>
        <w:t>PETROUTILLAGE</w:t>
      </w:r>
    </w:p>
    <w:p>
      <w:pPr>
        <w:spacing w:before="0" w:after="0"/>
        <w:jc w:val="left"/>
      </w:pPr>
      <w:r>
        <w:rPr>
          <w:rFonts w:ascii="Arial" w:hAnsi="Arial"/>
          <w:b/>
          <w:sz w:val="22"/>
        </w:rPr>
        <w:t>MECHANICAL ENGINEER</w:t>
      </w:r>
    </w:p>
    <w:p>
      <w:pPr>
        <w:pStyle w:val="ListBullet"/>
        <w:spacing w:before="0" w:after="0"/>
        <w:ind w:left="720" w:hanging="360"/>
        <w:jc w:val="both"/>
      </w:pPr>
      <w:r>
        <w:rPr>
          <w:rFonts w:ascii="Arial" w:hAnsi="Arial"/>
          <w:b w:val="0"/>
          <w:sz w:val="22"/>
        </w:rPr>
        <w:t>Performed design review for various equipment for the oil industry and reworked railcars.</w:t>
      </w:r>
    </w:p>
    <w:p>
      <w:pPr>
        <w:pStyle w:val="ListBullet"/>
        <w:spacing w:before="0" w:after="0"/>
        <w:ind w:left="720" w:hanging="360"/>
        <w:jc w:val="both"/>
      </w:pPr>
      <w:r>
        <w:rPr>
          <w:rFonts w:ascii="Arial" w:hAnsi="Arial"/>
          <w:b w:val="0"/>
          <w:sz w:val="22"/>
        </w:rPr>
        <w:t>Started the design and manufacturing of new equipment through to the final product for installation of optical fiber.</w:t>
      </w:r>
    </w:p>
    <w:p>
      <w:pPr>
        <w:pStyle w:val="ListBullet"/>
        <w:spacing w:before="0" w:after="0"/>
        <w:ind w:left="720" w:hanging="360"/>
        <w:jc w:val="both"/>
      </w:pPr>
      <w:r>
        <w:rPr>
          <w:rFonts w:ascii="Arial" w:hAnsi="Arial"/>
          <w:b w:val="0"/>
          <w:sz w:val="22"/>
        </w:rPr>
        <w:t>Participated in quality assurance review for ISO 9000 certification.</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5103"/>
        <w:gridCol w:w="5103"/>
      </w:tblGrid>
      <w:tr>
        <w:tc>
          <w:tcPr>
            <w:tcW w:type="dxa" w:w="5103"/>
          </w:tcPr>
          <w:p>
            <w:pPr>
              <w:spacing w:before="0" w:after="0"/>
              <w:jc w:val="left"/>
            </w:pPr>
            <w:r>
              <w:rPr>
                <w:rFonts w:ascii="Arial" w:hAnsi="Arial"/>
                <w:b/>
                <w:sz w:val="22"/>
              </w:rPr>
              <w:t>Project Experience Project Name</w:t>
            </w:r>
          </w:p>
        </w:tc>
        <w:tc>
          <w:tcPr>
            <w:tcW w:type="dxa" w:w="5103"/>
          </w:tcPr>
          <w:p>
            <w:pPr>
              <w:spacing w:before="0" w:after="0"/>
              <w:jc w:val="left"/>
            </w:pPr>
            <w:r>
              <w:rPr>
                <w:rFonts w:ascii="Arial" w:hAnsi="Arial"/>
                <w:b/>
                <w:sz w:val="22"/>
              </w:rPr>
              <w:t>City and State</w:t>
            </w:r>
          </w:p>
        </w:tc>
      </w:tr>
      <w:tr>
        <w:tc>
          <w:tcPr>
            <w:tcW w:type="dxa" w:w="5103"/>
          </w:tcPr>
          <w:p>
            <w:pPr>
              <w:spacing w:before="0" w:after="0"/>
              <w:jc w:val="left"/>
            </w:pPr>
            <w:r>
              <w:rPr>
                <w:rFonts w:ascii="Arial" w:hAnsi="Arial"/>
                <w:b w:val="0"/>
                <w:sz w:val="22"/>
              </w:rPr>
              <w:t>Simplot Expansion</w:t>
            </w:r>
          </w:p>
        </w:tc>
        <w:tc>
          <w:tcPr>
            <w:tcW w:type="dxa" w:w="5103"/>
          </w:tcPr>
          <w:p>
            <w:pPr>
              <w:spacing w:before="0" w:after="0"/>
              <w:jc w:val="left"/>
            </w:pPr>
            <w:r>
              <w:rPr>
                <w:rFonts w:ascii="Arial" w:hAnsi="Arial"/>
                <w:b w:val="0"/>
                <w:sz w:val="22"/>
              </w:rPr>
              <w:t>Rock Springs, WY (USA)</w:t>
            </w:r>
          </w:p>
        </w:tc>
      </w:tr>
      <w:tr>
        <w:tc>
          <w:tcPr>
            <w:tcW w:type="dxa" w:w="5103"/>
          </w:tcPr>
          <w:p>
            <w:pPr>
              <w:spacing w:before="0" w:after="0"/>
              <w:jc w:val="left"/>
            </w:pPr>
            <w:r>
              <w:rPr>
                <w:rFonts w:ascii="Arial" w:hAnsi="Arial"/>
                <w:b w:val="0"/>
                <w:sz w:val="22"/>
              </w:rPr>
              <w:t>Ekati Diamond Mine (BHP Billiton)</w:t>
            </w:r>
          </w:p>
        </w:tc>
        <w:tc>
          <w:tcPr>
            <w:tcW w:type="dxa" w:w="5103"/>
          </w:tcPr>
          <w:p>
            <w:pPr>
              <w:spacing w:before="0" w:after="0"/>
              <w:jc w:val="left"/>
            </w:pPr>
            <w:r>
              <w:rPr>
                <w:rFonts w:ascii="Arial" w:hAnsi="Arial"/>
                <w:b w:val="0"/>
                <w:sz w:val="22"/>
              </w:rPr>
              <w:t>Yellowknife, NWT (Canada)</w:t>
            </w:r>
          </w:p>
        </w:tc>
      </w:tr>
      <w:tr>
        <w:tc>
          <w:tcPr>
            <w:tcW w:type="dxa" w:w="5103"/>
          </w:tcPr>
          <w:p>
            <w:pPr>
              <w:spacing w:before="0" w:after="0"/>
              <w:jc w:val="left"/>
            </w:pPr>
            <w:r>
              <w:rPr>
                <w:rFonts w:ascii="Arial" w:hAnsi="Arial"/>
                <w:b w:val="0"/>
                <w:sz w:val="22"/>
              </w:rPr>
              <w:t>Snap Lake Mine (De Beers)</w:t>
            </w:r>
          </w:p>
        </w:tc>
        <w:tc>
          <w:tcPr>
            <w:tcW w:type="dxa" w:w="5103"/>
          </w:tcPr>
          <w:p>
            <w:pPr>
              <w:spacing w:before="0" w:after="0"/>
              <w:jc w:val="left"/>
            </w:pPr>
            <w:r>
              <w:rPr>
                <w:rFonts w:ascii="Arial" w:hAnsi="Arial"/>
                <w:b w:val="0"/>
                <w:sz w:val="22"/>
              </w:rPr>
              <w:t>Yellowknife, NWT (Canada)</w:t>
            </w:r>
          </w:p>
        </w:tc>
      </w:tr>
      <w:tr>
        <w:tc>
          <w:tcPr>
            <w:tcW w:type="dxa" w:w="5103"/>
          </w:tcPr>
          <w:p>
            <w:pPr>
              <w:spacing w:before="0" w:after="0"/>
              <w:jc w:val="left"/>
            </w:pPr>
            <w:r>
              <w:rPr>
                <w:rFonts w:ascii="Arial" w:hAnsi="Arial"/>
                <w:b w:val="0"/>
                <w:sz w:val="22"/>
              </w:rPr>
              <w:t>Arcelor Mittal Mines Canada</w:t>
            </w:r>
          </w:p>
        </w:tc>
        <w:tc>
          <w:tcPr>
            <w:tcW w:type="dxa" w:w="5103"/>
          </w:tcPr>
          <w:p>
            <w:pPr>
              <w:spacing w:before="0" w:after="0"/>
              <w:jc w:val="left"/>
            </w:pPr>
            <w:r>
              <w:rPr>
                <w:rFonts w:ascii="Arial" w:hAnsi="Arial"/>
                <w:b w:val="0"/>
                <w:sz w:val="22"/>
              </w:rPr>
              <w:t>Port-Cartier, QC (Canada)</w:t>
            </w:r>
          </w:p>
        </w:tc>
      </w:tr>
      <w:tr>
        <w:tc>
          <w:tcPr>
            <w:tcW w:type="dxa" w:w="5103"/>
          </w:tcPr>
          <w:p>
            <w:pPr>
              <w:spacing w:before="0" w:after="0"/>
              <w:jc w:val="left"/>
            </w:pPr>
            <w:r>
              <w:rPr>
                <w:rFonts w:ascii="Arial" w:hAnsi="Arial"/>
                <w:b w:val="0"/>
                <w:sz w:val="22"/>
              </w:rPr>
              <w:t>Colonsay (Mosaic)</w:t>
            </w:r>
          </w:p>
        </w:tc>
        <w:tc>
          <w:tcPr>
            <w:tcW w:type="dxa" w:w="5103"/>
          </w:tcPr>
          <w:p>
            <w:pPr>
              <w:spacing w:before="0" w:after="0"/>
              <w:jc w:val="left"/>
            </w:pPr>
            <w:r>
              <w:rPr>
                <w:rFonts w:ascii="Arial" w:hAnsi="Arial"/>
                <w:b w:val="0"/>
                <w:sz w:val="22"/>
              </w:rPr>
              <w:t>Saskatoon, SK (Canada)</w:t>
            </w:r>
          </w:p>
        </w:tc>
      </w:tr>
      <w:tr>
        <w:tc>
          <w:tcPr>
            <w:tcW w:type="dxa" w:w="5103"/>
          </w:tcPr>
          <w:p>
            <w:pPr>
              <w:spacing w:before="0" w:after="0"/>
              <w:jc w:val="left"/>
            </w:pPr>
            <w:r>
              <w:rPr>
                <w:rFonts w:ascii="Arial" w:hAnsi="Arial"/>
                <w:b w:val="0"/>
                <w:sz w:val="22"/>
              </w:rPr>
              <w:t>Aluminerie Alouette</w:t>
            </w:r>
          </w:p>
        </w:tc>
        <w:tc>
          <w:tcPr>
            <w:tcW w:type="dxa" w:w="5103"/>
          </w:tcPr>
          <w:p>
            <w:pPr>
              <w:spacing w:before="0" w:after="0"/>
              <w:jc w:val="left"/>
            </w:pPr>
            <w:r>
              <w:rPr>
                <w:rFonts w:ascii="Arial" w:hAnsi="Arial"/>
                <w:b w:val="0"/>
                <w:sz w:val="22"/>
              </w:rPr>
              <w:t>Sept-Iles, QC (Canada)</w:t>
            </w:r>
          </w:p>
        </w:tc>
      </w:tr>
      <w:tr>
        <w:tc>
          <w:tcPr>
            <w:tcW w:type="dxa" w:w="5103"/>
          </w:tcPr>
          <w:p>
            <w:pPr>
              <w:spacing w:before="0" w:after="0"/>
              <w:jc w:val="left"/>
            </w:pPr>
            <w:r>
              <w:rPr>
                <w:rFonts w:ascii="Arial" w:hAnsi="Arial"/>
                <w:b w:val="0"/>
                <w:sz w:val="22"/>
              </w:rPr>
              <w:t>Ma’aden Aluminium</w:t>
            </w:r>
          </w:p>
        </w:tc>
        <w:tc>
          <w:tcPr>
            <w:tcW w:type="dxa" w:w="5103"/>
          </w:tcPr>
          <w:p>
            <w:pPr>
              <w:spacing w:before="0" w:after="0"/>
              <w:jc w:val="left"/>
            </w:pPr>
            <w:r>
              <w:rPr>
                <w:rFonts w:ascii="Arial" w:hAnsi="Arial"/>
                <w:b w:val="0"/>
                <w:sz w:val="22"/>
              </w:rPr>
              <w:t>Ras Al-Khair, Saudi Arabia</w:t>
            </w:r>
          </w:p>
        </w:tc>
      </w:tr>
      <w:tr>
        <w:tc>
          <w:tcPr>
            <w:tcW w:type="dxa" w:w="5103"/>
          </w:tcPr>
          <w:p>
            <w:pPr>
              <w:spacing w:before="0" w:after="0"/>
              <w:jc w:val="left"/>
            </w:pPr>
            <w:r>
              <w:rPr>
                <w:rFonts w:ascii="Arial" w:hAnsi="Arial"/>
                <w:b w:val="0"/>
                <w:sz w:val="22"/>
              </w:rPr>
              <w:t>Alcoa Baie-Comeau</w:t>
            </w:r>
          </w:p>
        </w:tc>
        <w:tc>
          <w:tcPr>
            <w:tcW w:type="dxa" w:w="5103"/>
          </w:tcPr>
          <w:p>
            <w:pPr>
              <w:spacing w:before="0" w:after="0"/>
              <w:jc w:val="left"/>
            </w:pPr>
            <w:r>
              <w:rPr>
                <w:rFonts w:ascii="Arial" w:hAnsi="Arial"/>
                <w:b w:val="0"/>
                <w:sz w:val="22"/>
              </w:rPr>
              <w:t>Baie-Comeau, QC (Canada)</w:t>
            </w:r>
          </w:p>
        </w:tc>
      </w:tr>
      <w:tr>
        <w:tc>
          <w:tcPr>
            <w:tcW w:type="dxa" w:w="5103"/>
          </w:tcPr>
          <w:p>
            <w:pPr>
              <w:spacing w:before="0" w:after="0"/>
              <w:jc w:val="left"/>
            </w:pPr>
            <w:r>
              <w:rPr>
                <w:rFonts w:ascii="Arial" w:hAnsi="Arial"/>
                <w:b w:val="0"/>
                <w:sz w:val="22"/>
              </w:rPr>
              <w:t>Belle Plaine</w:t>
            </w:r>
          </w:p>
        </w:tc>
        <w:tc>
          <w:tcPr>
            <w:tcW w:type="dxa" w:w="5103"/>
          </w:tcPr>
          <w:p>
            <w:pPr>
              <w:spacing w:before="0" w:after="0"/>
              <w:jc w:val="left"/>
            </w:pPr>
            <w:r>
              <w:rPr>
                <w:rFonts w:ascii="Arial" w:hAnsi="Arial"/>
                <w:b w:val="0"/>
                <w:sz w:val="22"/>
              </w:rPr>
              <w:t>Belle Plaine, SK (Canada)</w:t>
            </w:r>
          </w:p>
        </w:tc>
      </w:tr>
      <w:tr>
        <w:tc>
          <w:tcPr>
            <w:tcW w:type="dxa" w:w="5103"/>
          </w:tcPr>
          <w:p>
            <w:pPr>
              <w:spacing w:before="0" w:after="0"/>
              <w:jc w:val="left"/>
            </w:pPr>
            <w:r>
              <w:rPr>
                <w:rFonts w:ascii="Arial" w:hAnsi="Arial"/>
                <w:b w:val="0"/>
                <w:sz w:val="22"/>
              </w:rPr>
              <w:t>Rio Tinto Fer et Titane</w:t>
            </w:r>
          </w:p>
        </w:tc>
        <w:tc>
          <w:tcPr>
            <w:tcW w:type="dxa" w:w="5103"/>
          </w:tcPr>
          <w:p>
            <w:pPr>
              <w:spacing w:before="0" w:after="0"/>
              <w:jc w:val="left"/>
            </w:pPr>
            <w:r>
              <w:rPr>
                <w:rFonts w:ascii="Arial" w:hAnsi="Arial"/>
                <w:b w:val="0"/>
                <w:sz w:val="22"/>
              </w:rPr>
              <w:t>Sorel-Tracy, Qc (Canada)</w:t>
            </w:r>
          </w:p>
        </w:tc>
      </w:tr>
      <w:tr>
        <w:tc>
          <w:tcPr>
            <w:tcW w:type="dxa" w:w="5103"/>
          </w:tcPr>
          <w:p>
            <w:pPr>
              <w:spacing w:before="0" w:after="0"/>
              <w:jc w:val="left"/>
            </w:pPr>
            <w:r>
              <w:rPr>
                <w:rFonts w:ascii="Arial" w:hAnsi="Arial"/>
                <w:b w:val="0"/>
                <w:sz w:val="22"/>
              </w:rPr>
              <w:t>CHUM Hospital-Automated guided vehicles</w:t>
            </w:r>
          </w:p>
        </w:tc>
        <w:tc>
          <w:tcPr>
            <w:tcW w:type="dxa" w:w="5103"/>
          </w:tcPr>
          <w:p>
            <w:pPr>
              <w:spacing w:before="0" w:after="0"/>
              <w:jc w:val="left"/>
            </w:pPr>
            <w:r>
              <w:rPr>
                <w:rFonts w:ascii="Arial" w:hAnsi="Arial"/>
                <w:b w:val="0"/>
                <w:sz w:val="22"/>
              </w:rPr>
              <w:t>Montréal, QC (Canada)</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Vendor Quality Surveillance</w:t>
      </w:r>
    </w:p>
    <w:p>
      <w:pPr>
        <w:pStyle w:val="ListBullet"/>
        <w:spacing w:before="0" w:after="0"/>
        <w:ind w:left="720" w:hanging="360"/>
        <w:jc w:val="both"/>
      </w:pPr>
      <w:r>
        <w:rPr>
          <w:rFonts w:ascii="Arial" w:hAnsi="Arial"/>
          <w:b w:val="0"/>
          <w:sz w:val="22"/>
        </w:rPr>
        <w:t>Procurement</w:t>
      </w:r>
    </w:p>
    <w:p>
      <w:pPr>
        <w:pStyle w:val="ListBullet"/>
        <w:spacing w:before="0" w:after="0"/>
        <w:ind w:left="720" w:hanging="360"/>
        <w:jc w:val="both"/>
      </w:pPr>
      <w:r>
        <w:rPr>
          <w:rFonts w:ascii="Arial" w:hAnsi="Arial"/>
          <w:b w:val="0"/>
          <w:sz w:val="22"/>
        </w:rPr>
        <w:t>Site Material Management</w:t>
      </w:r>
    </w:p>
    <w:p>
      <w:pPr>
        <w:pStyle w:val="ListBullet"/>
        <w:spacing w:before="0" w:after="0"/>
        <w:ind w:left="720" w:hanging="360"/>
        <w:jc w:val="both"/>
      </w:pPr>
      <w:r>
        <w:rPr>
          <w:rFonts w:ascii="Arial" w:hAnsi="Arial"/>
          <w:b w:val="0"/>
          <w:sz w:val="22"/>
        </w:rPr>
        <w:t>Inspection Contract Administration</w:t>
      </w:r>
    </w:p>
    <w:p>
      <w:pPr>
        <w:pStyle w:val="ListBullet"/>
        <w:spacing w:before="0" w:after="0"/>
        <w:ind w:left="720" w:hanging="360"/>
        <w:jc w:val="both"/>
      </w:pPr>
      <w:r>
        <w:rPr>
          <w:rFonts w:ascii="Arial" w:hAnsi="Arial"/>
          <w:b w:val="0"/>
          <w:sz w:val="22"/>
        </w:rPr>
        <w:t>Quality Program Implementation</w:t>
      </w:r>
    </w:p>
    <w:p>
      <w:pPr>
        <w:pStyle w:val="ListBullet"/>
        <w:spacing w:before="0" w:after="0"/>
        <w:ind w:left="720" w:hanging="360"/>
        <w:jc w:val="both"/>
      </w:pPr>
      <w:r>
        <w:rPr>
          <w:rFonts w:ascii="Arial" w:hAnsi="Arial"/>
          <w:b w:val="0"/>
          <w:sz w:val="22"/>
        </w:rPr>
        <w:t>Inspection Techniques</w:t>
      </w:r>
    </w:p>
    <w:p>
      <w:pPr>
        <w:pStyle w:val="ListBullet"/>
        <w:spacing w:before="0" w:after="0"/>
        <w:ind w:left="720" w:hanging="360"/>
        <w:jc w:val="both"/>
      </w:pPr>
      <w:r>
        <w:rPr>
          <w:rFonts w:ascii="Arial" w:hAnsi="Arial"/>
          <w:b w:val="0"/>
          <w:sz w:val="22"/>
        </w:rPr>
        <w:t>Testing Procedures</w:t>
      </w:r>
    </w:p>
    <w:p>
      <w:pPr>
        <w:pStyle w:val="ListBullet"/>
        <w:spacing w:before="0" w:after="0"/>
        <w:ind w:left="720" w:hanging="360"/>
        <w:jc w:val="both"/>
      </w:pPr>
      <w:r>
        <w:rPr>
          <w:rFonts w:ascii="Arial" w:hAnsi="Arial"/>
          <w:b w:val="0"/>
          <w:sz w:val="22"/>
        </w:rPr>
        <w:t>Design Review</w:t>
      </w:r>
    </w:p>
    <w:p>
      <w:pPr>
        <w:pStyle w:val="ListBullet"/>
        <w:spacing w:before="0" w:after="0"/>
        <w:ind w:left="720" w:hanging="360"/>
        <w:jc w:val="both"/>
      </w:pPr>
      <w:r>
        <w:rPr>
          <w:rFonts w:ascii="Arial" w:hAnsi="Arial"/>
          <w:b w:val="0"/>
          <w:sz w:val="22"/>
        </w:rPr>
        <w:t>Data Package / History Docket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Shells and Heads</w:t>
      </w:r>
    </w:p>
    <w:p>
      <w:pPr>
        <w:pStyle w:val="ListBullet"/>
        <w:spacing w:before="0" w:after="0"/>
        <w:ind w:left="720" w:hanging="360"/>
        <w:jc w:val="both"/>
      </w:pPr>
      <w:r>
        <w:rPr>
          <w:rFonts w:ascii="Arial" w:hAnsi="Arial"/>
          <w:b w:val="0"/>
          <w:sz w:val="22"/>
        </w:rPr>
        <w:t>Pot Shells</w:t>
      </w:r>
    </w:p>
    <w:p>
      <w:pPr>
        <w:pStyle w:val="ListBullet"/>
        <w:spacing w:before="0" w:after="0"/>
        <w:ind w:left="720" w:hanging="360"/>
        <w:jc w:val="both"/>
      </w:pPr>
      <w:r>
        <w:rPr>
          <w:rFonts w:ascii="Arial" w:hAnsi="Arial"/>
          <w:b w:val="0"/>
          <w:sz w:val="22"/>
        </w:rPr>
        <w:t>Cooling Towers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Conveyors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Air Locks</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Jacketed Piping</w:t>
      </w:r>
    </w:p>
    <w:p>
      <w:pPr>
        <w:pStyle w:val="ListBullet"/>
        <w:spacing w:before="0" w:after="0"/>
        <w:ind w:left="720" w:hanging="360"/>
        <w:jc w:val="both"/>
      </w:pPr>
      <w:r>
        <w:rPr>
          <w:rFonts w:ascii="Arial" w:hAnsi="Arial"/>
          <w:b w:val="0"/>
          <w:sz w:val="22"/>
        </w:rPr>
        <w:t>Liners</w:t>
      </w:r>
    </w:p>
    <w:p>
      <w:pPr>
        <w:pStyle w:val="ListBullet"/>
        <w:spacing w:before="0" w:after="0"/>
        <w:ind w:left="720" w:hanging="360"/>
        <w:jc w:val="both"/>
      </w:pPr>
      <w:r>
        <w:rPr>
          <w:rFonts w:ascii="Arial" w:hAnsi="Arial"/>
          <w:b w:val="0"/>
          <w:sz w:val="22"/>
        </w:rPr>
        <w:t>Spillway, Wicket and Bulkhead Gates</w:t>
      </w:r>
    </w:p>
    <w:p>
      <w:pPr>
        <w:pStyle w:val="ListBullet"/>
        <w:spacing w:before="0" w:after="0"/>
        <w:ind w:left="720" w:hanging="360"/>
        <w:jc w:val="both"/>
      </w:pPr>
      <w:r>
        <w:rPr>
          <w:rFonts w:ascii="Arial" w:hAnsi="Arial"/>
          <w:b w:val="0"/>
          <w:sz w:val="22"/>
        </w:rPr>
        <w:t>Evaporators</w:t>
      </w:r>
    </w:p>
    <w:p>
      <w:pPr>
        <w:pStyle w:val="ListBullet"/>
        <w:spacing w:before="0" w:after="0"/>
        <w:ind w:left="720" w:hanging="360"/>
        <w:jc w:val="both"/>
      </w:pPr>
      <w:r>
        <w:rPr>
          <w:rFonts w:ascii="Arial" w:hAnsi="Arial"/>
          <w:b w:val="0"/>
          <w:sz w:val="22"/>
        </w:rPr>
        <w:t>De-aerators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Railcar Equipment</w:t>
      </w:r>
    </w:p>
    <w:p>
      <w:pPr>
        <w:pStyle w:val="ListBullet"/>
        <w:spacing w:before="0" w:after="0"/>
        <w:ind w:left="720" w:hanging="360"/>
        <w:jc w:val="both"/>
      </w:pPr>
      <w:r>
        <w:rPr>
          <w:rFonts w:ascii="Arial" w:hAnsi="Arial"/>
          <w:b w:val="0"/>
          <w:sz w:val="22"/>
        </w:rPr>
        <w:t>Rotary Dumpers</w:t>
      </w:r>
    </w:p>
    <w:p>
      <w:pPr>
        <w:pStyle w:val="ListBullet"/>
        <w:spacing w:before="0" w:after="0"/>
        <w:ind w:left="720" w:hanging="360"/>
        <w:jc w:val="both"/>
      </w:pPr>
      <w:r>
        <w:rPr>
          <w:rFonts w:ascii="Arial" w:hAnsi="Arial"/>
          <w:b w:val="0"/>
          <w:sz w:val="22"/>
        </w:rPr>
        <w:t>Hoists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Refractory Lined Equipment</w:t>
      </w:r>
    </w:p>
    <w:p>
      <w:pPr>
        <w:pStyle w:val="ListBullet"/>
        <w:spacing w:before="0" w:after="0"/>
        <w:ind w:left="720" w:hanging="360"/>
        <w:jc w:val="both"/>
      </w:pPr>
      <w:r>
        <w:rPr>
          <w:rFonts w:ascii="Arial" w:hAnsi="Arial"/>
          <w:b w:val="0"/>
          <w:sz w:val="22"/>
        </w:rPr>
        <w:t>Stainless/Duplex Steels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Lime Kilns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Digesters</w:t>
      </w:r>
    </w:p>
    <w:p>
      <w:pPr>
        <w:pStyle w:val="ListBullet"/>
        <w:spacing w:before="0" w:after="0"/>
        <w:ind w:left="720" w:hanging="360"/>
        <w:jc w:val="both"/>
      </w:pPr>
      <w:r>
        <w:rPr>
          <w:rFonts w:ascii="Arial" w:hAnsi="Arial"/>
          <w:b w:val="0"/>
          <w:sz w:val="22"/>
        </w:rPr>
        <w:t>Blow Tanks</w:t>
      </w:r>
    </w:p>
    <w:p>
      <w:pPr>
        <w:pStyle w:val="ListBullet"/>
        <w:spacing w:before="0" w:after="0"/>
        <w:ind w:left="720" w:hanging="360"/>
        <w:jc w:val="both"/>
      </w:pPr>
      <w:r>
        <w:rPr>
          <w:rFonts w:ascii="Arial" w:hAnsi="Arial"/>
          <w:b w:val="0"/>
          <w:sz w:val="22"/>
        </w:rPr>
        <w:t>Water Accumulators</w:t>
      </w:r>
    </w:p>
    <w:p>
      <w:pPr>
        <w:pStyle w:val="ListBullet"/>
        <w:spacing w:before="0" w:after="0"/>
        <w:ind w:left="720" w:hanging="360"/>
        <w:jc w:val="both"/>
      </w:pPr>
      <w:r>
        <w:rPr>
          <w:rFonts w:ascii="Arial" w:hAnsi="Arial"/>
          <w:b w:val="0"/>
          <w:sz w:val="22"/>
        </w:rPr>
        <w:t>Air Rings</w:t>
      </w:r>
    </w:p>
    <w:p>
      <w:pPr>
        <w:pStyle w:val="ListBullet"/>
        <w:spacing w:before="0" w:after="0"/>
        <w:ind w:left="720" w:hanging="360"/>
        <w:jc w:val="both"/>
      </w:pPr>
      <w:r>
        <w:rPr>
          <w:rFonts w:ascii="Arial" w:hAnsi="Arial"/>
          <w:b w:val="0"/>
          <w:sz w:val="22"/>
        </w:rPr>
        <w:t>Expansion Joints</w:t>
      </w:r>
    </w:p>
    <w:p>
      <w:pPr>
        <w:pStyle w:val="ListBullet"/>
        <w:spacing w:before="0" w:after="0"/>
        <w:ind w:left="720" w:hanging="360"/>
        <w:jc w:val="both"/>
      </w:pPr>
      <w:r>
        <w:rPr>
          <w:rFonts w:ascii="Arial" w:hAnsi="Arial"/>
          <w:b w:val="0"/>
          <w:sz w:val="22"/>
        </w:rPr>
        <w:t>Silos</w:t>
      </w:r>
    </w:p>
    <w:p>
      <w:pPr>
        <w:pStyle w:val="ListBullet"/>
        <w:spacing w:before="0" w:after="0"/>
        <w:ind w:left="720" w:hanging="360"/>
        <w:jc w:val="both"/>
      </w:pPr>
      <w:r>
        <w:rPr>
          <w:rFonts w:ascii="Arial" w:hAnsi="Arial"/>
          <w:b w:val="0"/>
          <w:sz w:val="22"/>
        </w:rPr>
        <w:t>Ducting</w:t>
      </w:r>
    </w:p>
    <w:p>
      <w:pPr>
        <w:pStyle w:val="ListBullet"/>
        <w:spacing w:before="0" w:after="0"/>
        <w:ind w:left="720" w:hanging="360"/>
        <w:jc w:val="both"/>
      </w:pPr>
      <w:r>
        <w:rPr>
          <w:rFonts w:ascii="Arial" w:hAnsi="Arial"/>
          <w:b w:val="0"/>
          <w:sz w:val="22"/>
        </w:rPr>
        <w:t>HVAC</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