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MATTHEW JAMES CHAPMAN</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Matthew James Chapman is a highly experienced Vendor Inspection and Verification Engineer with 30+ years of engineering and inspection experience across oil &amp; gas and energy-sector projects. He provides electrical and mechanical inspection surveillance, FAT and integration-test witnessing, documentation review, QA/QC assurance and final release certification for motors, control panels, hazardous-area equipment, subsea electrical systems, instrumentation, valves, pumps, rotating equipment and pressure systems. His capabilities include electrical and mechanical FAT, valve inspection, ITP and drawing review, inspection reporting, quality dossier review and release recommendation. He has led independent inspection and verification services, managed inspectors and international resources, supported client and EPC interfaces, and delivered technical assurance across mechanical, electrical, structural, pressure and subsea equipment for major operators including TotalEnergies and Wintershall.</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BEng (Hons) Engineering</w:t>
      </w:r>
    </w:p>
    <w:p>
      <w:pPr>
        <w:pStyle w:val="ListBullet"/>
        <w:spacing w:before="0" w:after="0"/>
        <w:ind w:left="720" w:hanging="360"/>
        <w:jc w:val="both"/>
      </w:pPr>
      <w:r>
        <w:rPr>
          <w:rFonts w:ascii="Arial" w:hAnsi="Arial"/>
          <w:b w:val="0"/>
          <w:sz w:val="22"/>
        </w:rPr>
        <w:t>Class I Higher National Diploma (HND)</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EMTA 100/2266/1 A1 Engineering NVQ Assessor</w:t>
      </w:r>
    </w:p>
    <w:p>
      <w:pPr>
        <w:pStyle w:val="ListBullet"/>
        <w:spacing w:before="0" w:after="0"/>
        <w:ind w:left="720" w:hanging="360"/>
        <w:jc w:val="both"/>
      </w:pPr>
      <w:r>
        <w:rPr>
          <w:rFonts w:ascii="Arial" w:hAnsi="Arial"/>
          <w:b w:val="0"/>
          <w:sz w:val="22"/>
        </w:rPr>
        <w:t>CSWIP 3.0 Visual Weld Inspector (lapsed)</w:t>
      </w:r>
    </w:p>
    <w:p>
      <w:pPr>
        <w:pStyle w:val="ListBullet"/>
        <w:spacing w:before="0" w:after="0"/>
        <w:ind w:left="720" w:hanging="360"/>
        <w:jc w:val="both"/>
      </w:pPr>
      <w:r>
        <w:rPr>
          <w:rFonts w:ascii="Arial" w:hAnsi="Arial"/>
          <w:b w:val="0"/>
          <w:sz w:val="22"/>
        </w:rPr>
        <w:t>DPI inspection awareness / previous training</w:t>
      </w:r>
    </w:p>
    <w:p>
      <w:pPr>
        <w:pStyle w:val="ListBullet"/>
        <w:spacing w:before="0" w:after="0"/>
        <w:ind w:left="720" w:hanging="360"/>
        <w:jc w:val="both"/>
      </w:pPr>
      <w:r>
        <w:rPr>
          <w:rFonts w:ascii="Arial" w:hAnsi="Arial"/>
          <w:b w:val="0"/>
          <w:sz w:val="22"/>
        </w:rPr>
        <w:t>MPI inspection awareness / previous training</w:t>
      </w:r>
    </w:p>
    <w:p>
      <w:pPr>
        <w:pStyle w:val="ListBullet"/>
        <w:spacing w:before="0" w:after="0"/>
        <w:ind w:left="720" w:hanging="360"/>
        <w:jc w:val="both"/>
      </w:pPr>
      <w:r>
        <w:rPr>
          <w:rFonts w:ascii="Arial" w:hAnsi="Arial"/>
          <w:b w:val="0"/>
          <w:sz w:val="22"/>
        </w:rPr>
        <w:t>AUT inspection awareness / previous training</w:t>
      </w:r>
    </w:p>
    <w:p>
      <w:pPr>
        <w:pStyle w:val="ListBullet"/>
        <w:spacing w:before="0" w:after="0"/>
        <w:ind w:left="720" w:hanging="360"/>
        <w:jc w:val="both"/>
      </w:pPr>
      <w:r>
        <w:rPr>
          <w:rFonts w:ascii="Arial" w:hAnsi="Arial"/>
          <w:b w:val="0"/>
          <w:sz w:val="22"/>
        </w:rPr>
        <w:t>Eddy Current inspection awareness / previous training</w:t>
      </w:r>
    </w:p>
    <w:p>
      <w:pPr>
        <w:pStyle w:val="ListBullet"/>
        <w:spacing w:before="0" w:after="0"/>
        <w:ind w:left="720" w:hanging="360"/>
        <w:jc w:val="both"/>
      </w:pPr>
      <w:r>
        <w:rPr>
          <w:rFonts w:ascii="Arial" w:hAnsi="Arial"/>
          <w:b w:val="0"/>
          <w:sz w:val="22"/>
        </w:rPr>
        <w:t>Human Factors &amp; Error Management</w:t>
      </w:r>
    </w:p>
    <w:p>
      <w:pPr>
        <w:pStyle w:val="ListBullet"/>
        <w:spacing w:before="0" w:after="0"/>
        <w:ind w:left="720" w:hanging="360"/>
        <w:jc w:val="both"/>
      </w:pPr>
      <w:r>
        <w:rPr>
          <w:rFonts w:ascii="Arial" w:hAnsi="Arial"/>
          <w:b w:val="0"/>
          <w:sz w:val="22"/>
        </w:rPr>
        <w:t>Project Management courses</w:t>
      </w:r>
    </w:p>
    <w:p>
      <w:pPr>
        <w:pStyle w:val="ListBullet"/>
        <w:spacing w:before="0" w:after="0"/>
        <w:ind w:left="720" w:hanging="360"/>
        <w:jc w:val="both"/>
      </w:pPr>
      <w:r>
        <w:rPr>
          <w:rFonts w:ascii="Arial" w:hAnsi="Arial"/>
          <w:b w:val="0"/>
          <w:sz w:val="22"/>
        </w:rPr>
        <w:t>Microsoft Certified Systems Engineer (MCSE)</w:t>
      </w:r>
    </w:p>
    <w:p>
      <w:pPr>
        <w:pStyle w:val="ListBullet"/>
        <w:spacing w:before="0" w:after="0"/>
        <w:ind w:left="720" w:hanging="360"/>
        <w:jc w:val="both"/>
      </w:pPr>
      <w:r>
        <w:rPr>
          <w:rFonts w:ascii="Arial" w:hAnsi="Arial"/>
          <w:b w:val="0"/>
          <w:sz w:val="22"/>
        </w:rPr>
        <w:t>CompTIA Security+</w:t>
      </w:r>
    </w:p>
    <w:p>
      <w:pPr>
        <w:pStyle w:val="ListBullet"/>
        <w:spacing w:before="0" w:after="0"/>
        <w:ind w:left="720" w:hanging="360"/>
        <w:jc w:val="both"/>
      </w:pPr>
      <w:r>
        <w:rPr>
          <w:rFonts w:ascii="Arial" w:hAnsi="Arial"/>
          <w:b w:val="0"/>
          <w:sz w:val="22"/>
        </w:rPr>
        <w:t>Higher National Certificate (HNC)</w:t>
      </w:r>
    </w:p>
    <w:p>
      <w:pPr>
        <w:pStyle w:val="ListBullet"/>
        <w:spacing w:before="0" w:after="0"/>
        <w:ind w:left="720" w:hanging="360"/>
        <w:jc w:val="both"/>
      </w:pPr>
      <w:r>
        <w:rPr>
          <w:rFonts w:ascii="Arial" w:hAnsi="Arial"/>
          <w:b w:val="0"/>
          <w:sz w:val="22"/>
        </w:rPr>
        <w:t>Ordinary National Certificate (ONC)</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2010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senior quality surveillance, FAT, integration and site testing, documentation review, pre-production meetings, compliance activities and final release.</w:t>
      </w:r>
    </w:p>
    <w:p>
      <w:pPr>
        <w:spacing w:before="0" w:after="0"/>
      </w:pPr>
    </w:p>
    <w:p>
      <w:pPr>
        <w:spacing w:before="0" w:after="0"/>
        <w:jc w:val="left"/>
      </w:pPr>
      <w:r>
        <w:rPr>
          <w:rFonts w:ascii="Arial" w:hAnsi="Arial"/>
          <w:b/>
          <w:sz w:val="22"/>
        </w:rPr>
        <w:t>2022 – 2025</w:t>
      </w:r>
    </w:p>
    <w:p>
      <w:pPr>
        <w:spacing w:before="0" w:after="0"/>
        <w:jc w:val="left"/>
      </w:pPr>
      <w:r>
        <w:rPr>
          <w:rFonts w:ascii="Arial" w:hAnsi="Arial"/>
          <w:b/>
          <w:sz w:val="22"/>
        </w:rPr>
        <w:t>TPI AGENCY</w:t>
      </w:r>
    </w:p>
    <w:p>
      <w:pPr>
        <w:spacing w:before="0" w:after="0"/>
        <w:jc w:val="left"/>
      </w:pPr>
      <w:r>
        <w:rPr>
          <w:rFonts w:ascii="Arial" w:hAnsi="Arial"/>
          <w:b/>
          <w:sz w:val="22"/>
        </w:rPr>
        <w:t>OPERATIONS MANAGER</w:t>
      </w:r>
    </w:p>
    <w:p>
      <w:pPr>
        <w:pStyle w:val="ListBullet"/>
        <w:spacing w:before="0" w:after="0"/>
        <w:ind w:left="720" w:hanging="360"/>
        <w:jc w:val="both"/>
      </w:pPr>
      <w:r>
        <w:rPr>
          <w:rFonts w:ascii="Arial" w:hAnsi="Arial"/>
          <w:b w:val="0"/>
          <w:sz w:val="22"/>
        </w:rPr>
        <w:t>Managed operational and technical delivery of UK inspection activities.</w:t>
      </w:r>
    </w:p>
    <w:p>
      <w:pPr>
        <w:pStyle w:val="ListBullet"/>
        <w:spacing w:before="0" w:after="0"/>
        <w:ind w:left="720" w:hanging="360"/>
        <w:jc w:val="both"/>
      </w:pPr>
      <w:r>
        <w:rPr>
          <w:rFonts w:ascii="Arial" w:hAnsi="Arial"/>
          <w:b w:val="0"/>
          <w:sz w:val="22"/>
        </w:rPr>
        <w:t>Coordinated third-party inspection, vendor surveillance, verification and technical assurance services.</w:t>
      </w:r>
    </w:p>
    <w:p>
      <w:pPr>
        <w:pStyle w:val="ListBullet"/>
        <w:spacing w:before="0" w:after="0"/>
        <w:ind w:left="720" w:hanging="360"/>
        <w:jc w:val="both"/>
      </w:pPr>
      <w:r>
        <w:rPr>
          <w:rFonts w:ascii="Arial" w:hAnsi="Arial"/>
          <w:b w:val="0"/>
          <w:sz w:val="22"/>
        </w:rPr>
        <w:t>Managed inspectors and international resources, competency review, assignment coordination, technical support, report review, client liaison and commercial/project delivery.</w:t>
      </w:r>
    </w:p>
    <w:p>
      <w:pPr>
        <w:pStyle w:val="ListBullet"/>
        <w:spacing w:before="0" w:after="0"/>
        <w:ind w:left="720" w:hanging="360"/>
        <w:jc w:val="both"/>
      </w:pPr>
      <w:r>
        <w:rPr>
          <w:rFonts w:ascii="Arial" w:hAnsi="Arial"/>
          <w:b w:val="0"/>
          <w:sz w:val="22"/>
        </w:rPr>
        <w:t>Undertook vendor surveillance, FAT witnessing, documentation review, QA/QC assessment and verification activities against client specifications and international standards, including support to major oil &amp; gas operator and EPC programmes.</w:t>
      </w:r>
    </w:p>
    <w:p>
      <w:pPr>
        <w:spacing w:before="0" w:after="0"/>
      </w:pPr>
    </w:p>
    <w:p>
      <w:pPr>
        <w:spacing w:before="0" w:after="0"/>
        <w:jc w:val="left"/>
      </w:pPr>
      <w:r>
        <w:rPr>
          <w:rFonts w:ascii="Arial" w:hAnsi="Arial"/>
          <w:b/>
          <w:sz w:val="22"/>
        </w:rPr>
        <w:t>2010 – 2022</w:t>
      </w:r>
    </w:p>
    <w:p>
      <w:pPr>
        <w:spacing w:before="0" w:after="0"/>
        <w:jc w:val="left"/>
      </w:pPr>
      <w:r>
        <w:rPr>
          <w:rFonts w:ascii="Arial" w:hAnsi="Arial"/>
          <w:b/>
          <w:sz w:val="22"/>
        </w:rPr>
        <w:t>TPI AGENCY</w:t>
      </w:r>
    </w:p>
    <w:p>
      <w:pPr>
        <w:spacing w:before="0" w:after="0"/>
        <w:jc w:val="left"/>
      </w:pPr>
      <w:r>
        <w:rPr>
          <w:rFonts w:ascii="Arial" w:hAnsi="Arial"/>
          <w:b/>
          <w:sz w:val="22"/>
        </w:rPr>
        <w:t>FOUNDER</w:t>
      </w:r>
    </w:p>
    <w:p>
      <w:pPr>
        <w:pStyle w:val="ListBullet"/>
        <w:spacing w:before="0" w:after="0"/>
        <w:ind w:left="720" w:hanging="360"/>
        <w:jc w:val="both"/>
      </w:pPr>
      <w:r>
        <w:rPr>
          <w:rFonts w:ascii="Arial" w:hAnsi="Arial"/>
          <w:b w:val="0"/>
          <w:sz w:val="22"/>
        </w:rPr>
        <w:t>Founded, owned and technically led an independent Inspection &amp; Verification business delivering third-party inspection, QA/QC surveillance, technical assurance and verification services for major oil &amp; gas operators, EPC contractors and OEMs.</w:t>
      </w:r>
    </w:p>
    <w:p>
      <w:pPr>
        <w:pStyle w:val="ListBullet"/>
        <w:spacing w:before="0" w:after="0"/>
        <w:ind w:left="720" w:hanging="360"/>
        <w:jc w:val="both"/>
      </w:pPr>
      <w:r>
        <w:rPr>
          <w:rFonts w:ascii="Arial" w:hAnsi="Arial"/>
          <w:b w:val="0"/>
          <w:sz w:val="22"/>
        </w:rPr>
        <w:t>Managed technical and operational activities, verification schemes, design/document review, vendor inspection, FAT witnessing, expediting, final release, inspector competency and coordination of multi-discipline resources worldwide.</w:t>
      </w:r>
    </w:p>
    <w:p>
      <w:pPr>
        <w:pStyle w:val="ListBullet"/>
        <w:spacing w:before="0" w:after="0"/>
        <w:ind w:left="720" w:hanging="360"/>
        <w:jc w:val="both"/>
      </w:pPr>
      <w:r>
        <w:rPr>
          <w:rFonts w:ascii="Arial" w:hAnsi="Arial"/>
          <w:b w:val="0"/>
          <w:sz w:val="22"/>
        </w:rPr>
        <w:t>Managed and undertook verification activities for international operators including TotalEnergies and Wintershall across mechanical, electrical, structural, pressure and subsea equipment.</w:t>
      </w:r>
    </w:p>
    <w:p>
      <w:pPr>
        <w:spacing w:before="0" w:after="0"/>
      </w:pPr>
    </w:p>
    <w:p>
      <w:pPr>
        <w:spacing w:before="0" w:after="0"/>
        <w:jc w:val="left"/>
      </w:pPr>
      <w:r>
        <w:rPr>
          <w:rFonts w:ascii="Arial" w:hAnsi="Arial"/>
          <w:b/>
          <w:sz w:val="22"/>
        </w:rPr>
        <w:t>2009 – 2016</w:t>
      </w:r>
    </w:p>
    <w:p>
      <w:pPr>
        <w:spacing w:before="0" w:after="0"/>
        <w:jc w:val="left"/>
      </w:pPr>
      <w:r>
        <w:rPr>
          <w:rFonts w:ascii="Arial" w:hAnsi="Arial"/>
          <w:b/>
          <w:sz w:val="22"/>
        </w:rPr>
        <w:t>PROSERV CONTROLS / WEATHERFORD</w:t>
      </w:r>
    </w:p>
    <w:p>
      <w:pPr>
        <w:spacing w:before="0" w:after="0"/>
        <w:jc w:val="left"/>
      </w:pPr>
      <w:r>
        <w:rPr>
          <w:rFonts w:ascii="Arial" w:hAnsi="Arial"/>
          <w:b/>
          <w:sz w:val="22"/>
        </w:rPr>
        <w:t>CLIENT REPRESENTATIVE</w:t>
      </w:r>
    </w:p>
    <w:p>
      <w:pPr>
        <w:pStyle w:val="ListBullet"/>
        <w:spacing w:before="0" w:after="0"/>
        <w:ind w:left="720" w:hanging="360"/>
        <w:jc w:val="both"/>
      </w:pPr>
      <w:r>
        <w:rPr>
          <w:rFonts w:ascii="Arial" w:hAnsi="Arial"/>
          <w:b w:val="0"/>
          <w:sz w:val="22"/>
        </w:rPr>
        <w:t>Performed client representative and inspection activities for subsea and topside manufacture/testing for BG, Hess, Talisman, Apache and Kangean Energy.</w:t>
      </w:r>
    </w:p>
    <w:p>
      <w:pPr>
        <w:pStyle w:val="ListBullet"/>
        <w:spacing w:before="0" w:after="0"/>
        <w:ind w:left="720" w:hanging="360"/>
        <w:jc w:val="both"/>
      </w:pPr>
      <w:r>
        <w:rPr>
          <w:rFonts w:ascii="Arial" w:hAnsi="Arial"/>
          <w:b w:val="0"/>
          <w:sz w:val="22"/>
        </w:rPr>
        <w:t>Covered HPU, SCM, SEM, EDU, SDU, TUTA, UTA/UDA and associated systems.</w:t>
      </w:r>
    </w:p>
    <w:p>
      <w:pPr>
        <w:spacing w:before="0" w:after="0"/>
      </w:pPr>
    </w:p>
    <w:p>
      <w:pPr>
        <w:spacing w:before="0" w:after="0"/>
        <w:jc w:val="left"/>
      </w:pPr>
      <w:r>
        <w:rPr>
          <w:rFonts w:ascii="Arial" w:hAnsi="Arial"/>
          <w:b/>
          <w:sz w:val="22"/>
        </w:rPr>
        <w:t>2008 – 2010</w:t>
      </w:r>
    </w:p>
    <w:p>
      <w:pPr>
        <w:spacing w:before="0" w:after="0"/>
        <w:jc w:val="left"/>
      </w:pPr>
      <w:r>
        <w:rPr>
          <w:rFonts w:ascii="Arial" w:hAnsi="Arial"/>
          <w:b/>
          <w:sz w:val="22"/>
        </w:rPr>
        <w:t>TPI AGENCY</w:t>
      </w:r>
    </w:p>
    <w:p>
      <w:pPr>
        <w:spacing w:before="0" w:after="0"/>
        <w:jc w:val="left"/>
      </w:pPr>
      <w:r>
        <w:rPr>
          <w:rFonts w:ascii="Arial" w:hAnsi="Arial"/>
          <w:b/>
          <w:sz w:val="22"/>
        </w:rPr>
        <w:t>TECHNICAL ASSURANCE &amp; VERIFICATION ENGINEER</w:t>
      </w:r>
    </w:p>
    <w:p>
      <w:pPr>
        <w:pStyle w:val="ListBullet"/>
        <w:spacing w:before="0" w:after="0"/>
        <w:ind w:left="720" w:hanging="360"/>
        <w:jc w:val="both"/>
      </w:pPr>
      <w:r>
        <w:rPr>
          <w:rFonts w:ascii="Arial" w:hAnsi="Arial"/>
          <w:b w:val="0"/>
          <w:sz w:val="22"/>
        </w:rPr>
        <w:t>Performed design verification and technical assurance for topside/subsea systems, pipelines, flowlines, umbilicals, subsea trees, valves, manifolds and PLETs.</w:t>
      </w:r>
    </w:p>
    <w:p>
      <w:pPr>
        <w:pStyle w:val="ListBullet"/>
        <w:spacing w:before="0" w:after="0"/>
        <w:ind w:left="720" w:hanging="360"/>
        <w:jc w:val="both"/>
      </w:pPr>
      <w:r>
        <w:rPr>
          <w:rFonts w:ascii="Arial" w:hAnsi="Arial"/>
          <w:b w:val="0"/>
          <w:sz w:val="22"/>
        </w:rPr>
        <w:t>Produced verification reports and certificates and coordinated inspection activities.</w:t>
      </w:r>
    </w:p>
    <w:p>
      <w:pPr>
        <w:spacing w:before="0" w:after="0"/>
      </w:pPr>
    </w:p>
    <w:p>
      <w:pPr>
        <w:spacing w:before="0" w:after="0"/>
        <w:jc w:val="left"/>
      </w:pPr>
      <w:r>
        <w:rPr>
          <w:rFonts w:ascii="Arial" w:hAnsi="Arial"/>
          <w:b/>
          <w:sz w:val="22"/>
        </w:rPr>
        <w:t>2007 – 2008</w:t>
      </w:r>
    </w:p>
    <w:p>
      <w:pPr>
        <w:spacing w:before="0" w:after="0"/>
        <w:jc w:val="left"/>
      </w:pPr>
      <w:r>
        <w:rPr>
          <w:rFonts w:ascii="Arial" w:hAnsi="Arial"/>
          <w:b/>
          <w:sz w:val="22"/>
        </w:rPr>
        <w:t>TPI AGENCY</w:t>
      </w:r>
    </w:p>
    <w:p>
      <w:pPr>
        <w:spacing w:before="0" w:after="0"/>
        <w:jc w:val="left"/>
      </w:pPr>
      <w:r>
        <w:rPr>
          <w:rFonts w:ascii="Arial" w:hAnsi="Arial"/>
          <w:b/>
          <w:sz w:val="22"/>
        </w:rPr>
        <w:t>INSPECTION SUPERVISOR</w:t>
      </w:r>
    </w:p>
    <w:p>
      <w:pPr>
        <w:pStyle w:val="ListBullet"/>
        <w:spacing w:before="0" w:after="0"/>
        <w:ind w:left="720" w:hanging="360"/>
        <w:jc w:val="both"/>
      </w:pPr>
      <w:r>
        <w:rPr>
          <w:rFonts w:ascii="Arial" w:hAnsi="Arial"/>
          <w:b w:val="0"/>
          <w:sz w:val="22"/>
        </w:rPr>
        <w:t>Supervised global vendor FAT and inspection activities.</w:t>
      </w:r>
    </w:p>
    <w:p>
      <w:pPr>
        <w:pStyle w:val="ListBullet"/>
        <w:spacing w:before="0" w:after="0"/>
        <w:ind w:left="720" w:hanging="360"/>
        <w:jc w:val="both"/>
      </w:pPr>
      <w:r>
        <w:rPr>
          <w:rFonts w:ascii="Arial" w:hAnsi="Arial"/>
          <w:b w:val="0"/>
          <w:sz w:val="22"/>
        </w:rPr>
        <w:t>Maintained report integrity, coordinated inspectors, provided mentoring, supported tenders and managed client/vendor liaison.</w:t>
      </w:r>
    </w:p>
    <w:p>
      <w:pPr>
        <w:spacing w:before="0" w:after="0"/>
      </w:pPr>
    </w:p>
    <w:p>
      <w:pPr>
        <w:spacing w:before="0" w:after="0"/>
        <w:jc w:val="left"/>
      </w:pPr>
      <w:r>
        <w:rPr>
          <w:rFonts w:ascii="Arial" w:hAnsi="Arial"/>
          <w:b/>
          <w:sz w:val="22"/>
        </w:rPr>
        <w:t>2006 – 2007</w:t>
      </w:r>
    </w:p>
    <w:p>
      <w:pPr>
        <w:spacing w:before="0" w:after="0"/>
        <w:jc w:val="left"/>
      </w:pPr>
      <w:r>
        <w:rPr>
          <w:rFonts w:ascii="Arial" w:hAnsi="Arial"/>
          <w:b/>
          <w:sz w:val="22"/>
        </w:rPr>
        <w:t>TPI AGENCY</w:t>
      </w:r>
    </w:p>
    <w:p>
      <w:pPr>
        <w:spacing w:before="0" w:after="0"/>
        <w:jc w:val="left"/>
      </w:pPr>
      <w:r>
        <w:rPr>
          <w:rFonts w:ascii="Arial" w:hAnsi="Arial"/>
          <w:b/>
          <w:sz w:val="22"/>
        </w:rPr>
        <w:t>PROJECT ENGINEER</w:t>
      </w:r>
    </w:p>
    <w:p>
      <w:pPr>
        <w:pStyle w:val="ListBullet"/>
        <w:spacing w:before="0" w:after="0"/>
        <w:ind w:left="720" w:hanging="360"/>
        <w:jc w:val="both"/>
      </w:pPr>
      <w:r>
        <w:rPr>
          <w:rFonts w:ascii="Arial" w:hAnsi="Arial"/>
          <w:b w:val="0"/>
          <w:sz w:val="22"/>
        </w:rPr>
        <w:t>Coordinated AUT, Phased Array and TOFD pipeline inspection projects, including technical/project coordination, quality, schedule, risk and commercial control.</w:t>
      </w:r>
    </w:p>
    <w:p>
      <w:pPr>
        <w:spacing w:before="0" w:after="0"/>
      </w:pPr>
    </w:p>
    <w:p>
      <w:pPr>
        <w:spacing w:before="0" w:after="0"/>
        <w:jc w:val="left"/>
      </w:pPr>
      <w:r>
        <w:rPr>
          <w:rFonts w:ascii="Arial" w:hAnsi="Arial"/>
          <w:b/>
          <w:sz w:val="22"/>
        </w:rPr>
        <w:t>1990 – 2006</w:t>
      </w:r>
    </w:p>
    <w:p>
      <w:pPr>
        <w:spacing w:before="0" w:after="0"/>
        <w:jc w:val="left"/>
      </w:pPr>
      <w:r>
        <w:rPr>
          <w:rFonts w:ascii="Arial" w:hAnsi="Arial"/>
          <w:b/>
          <w:sz w:val="22"/>
        </w:rPr>
        <w:t>ROYAL AIR FORCE</w:t>
      </w:r>
    </w:p>
    <w:p>
      <w:pPr>
        <w:spacing w:before="0" w:after="0"/>
        <w:jc w:val="left"/>
      </w:pPr>
      <w:r>
        <w:rPr>
          <w:rFonts w:ascii="Arial" w:hAnsi="Arial"/>
          <w:b/>
          <w:sz w:val="22"/>
        </w:rPr>
        <w:t>ENGINEER</w:t>
      </w:r>
    </w:p>
    <w:p>
      <w:pPr>
        <w:pStyle w:val="ListBullet"/>
        <w:spacing w:before="0" w:after="0"/>
        <w:ind w:left="720" w:hanging="360"/>
        <w:jc w:val="both"/>
      </w:pPr>
      <w:r>
        <w:rPr>
          <w:rFonts w:ascii="Arial" w:hAnsi="Arial"/>
          <w:b w:val="0"/>
          <w:sz w:val="22"/>
        </w:rPr>
        <w:t>Worked with hydraulics, pneumatics, electrical controls, gas turbines, pressure systems, structures, corrosion repair, NDT, maintenance inspection and engineering team leadership.</w:t>
      </w:r>
    </w:p>
    <w:p>
      <w:pPr>
        <w:pStyle w:val="ListBullet"/>
        <w:spacing w:before="0" w:after="0"/>
        <w:ind w:left="720" w:hanging="360"/>
        <w:jc w:val="both"/>
      </w:pPr>
      <w:r>
        <w:rPr>
          <w:rFonts w:ascii="Arial" w:hAnsi="Arial"/>
          <w:b w:val="0"/>
          <w:sz w:val="22"/>
        </w:rPr>
        <w:t>Performed NVQ assessor activities.</w:t>
      </w:r>
    </w:p>
    <w:p>
      <w:pPr>
        <w:spacing w:before="0" w:after="0"/>
      </w:pPr>
    </w:p>
    <w:p>
      <w:pPr>
        <w:spacing w:before="0" w:after="0"/>
        <w:jc w:val="left"/>
      </w:pPr>
      <w:r>
        <w:rPr>
          <w:rFonts w:ascii="Arial" w:hAnsi="Arial"/>
          <w:b/>
          <w:sz w:val="22"/>
        </w:rPr>
        <w:t>PROJECTS</w:t>
      </w:r>
    </w:p>
    <w:p>
      <w:pPr>
        <w:spacing w:before="0" w:after="0"/>
      </w:pPr>
    </w:p>
    <w:tbl>
      <w:tblPr>
        <w:tblStyle w:val="TableGrid"/>
        <w:tblW w:type="auto" w:w="0"/>
        <w:tblLook w:firstColumn="1" w:firstRow="1" w:lastColumn="0" w:lastRow="0" w:noHBand="0" w:noVBand="1" w:val="04A0"/>
      </w:tblPr>
      <w:tblGrid>
        <w:gridCol w:w="2041"/>
        <w:gridCol w:w="2041"/>
        <w:gridCol w:w="2041"/>
        <w:gridCol w:w="2041"/>
        <w:gridCol w:w="2041"/>
      </w:tblGrid>
      <w:tr>
        <w:tc>
          <w:tcPr>
            <w:tcW w:type="dxa" w:w="2041"/>
          </w:tcPr>
          <w:p>
            <w:pPr>
              <w:spacing w:before="0" w:after="0"/>
              <w:jc w:val="left"/>
            </w:pPr>
            <w:r>
              <w:rPr>
                <w:rFonts w:ascii="Arial" w:hAnsi="Arial"/>
                <w:b/>
                <w:sz w:val="22"/>
              </w:rPr>
              <w:t>End Client / Project</w:t>
            </w:r>
          </w:p>
        </w:tc>
        <w:tc>
          <w:tcPr>
            <w:tcW w:type="dxa" w:w="2041"/>
          </w:tcPr>
          <w:p>
            <w:pPr>
              <w:spacing w:before="0" w:after="0"/>
              <w:jc w:val="left"/>
            </w:pPr>
            <w:r>
              <w:rPr>
                <w:rFonts w:ascii="Arial" w:hAnsi="Arial"/>
                <w:b/>
                <w:sz w:val="22"/>
              </w:rPr>
              <w:t>Vendor</w:t>
            </w:r>
          </w:p>
        </w:tc>
        <w:tc>
          <w:tcPr>
            <w:tcW w:type="dxa" w:w="2041"/>
          </w:tcPr>
          <w:p>
            <w:pPr>
              <w:spacing w:before="0" w:after="0"/>
              <w:jc w:val="left"/>
            </w:pPr>
            <w:r>
              <w:rPr>
                <w:rFonts w:ascii="Arial" w:hAnsi="Arial"/>
                <w:b/>
                <w:sz w:val="22"/>
              </w:rPr>
              <w:t>Equipment</w:t>
            </w:r>
          </w:p>
        </w:tc>
        <w:tc>
          <w:tcPr>
            <w:tcW w:type="dxa" w:w="2041"/>
          </w:tcPr>
          <w:p>
            <w:pPr>
              <w:spacing w:before="0" w:after="0"/>
              <w:jc w:val="left"/>
            </w:pPr>
            <w:r>
              <w:rPr>
                <w:rFonts w:ascii="Arial" w:hAnsi="Arial"/>
                <w:b/>
                <w:sz w:val="22"/>
              </w:rPr>
              <w:t>Inspection Scope</w:t>
            </w:r>
          </w:p>
        </w:tc>
        <w:tc>
          <w:tcPr>
            <w:tcW w:type="dxa" w:w="2041"/>
          </w:tcPr>
          <w:p>
            <w:pPr>
              <w:spacing w:before="0" w:after="0"/>
              <w:jc w:val="left"/>
            </w:pPr>
            <w:r>
              <w:rPr>
                <w:rFonts w:ascii="Arial" w:hAnsi="Arial"/>
                <w:b/>
                <w:sz w:val="22"/>
              </w:rPr>
            </w:r>
          </w:p>
        </w:tc>
      </w:tr>
      <w:tr>
        <w:tc>
          <w:tcPr>
            <w:tcW w:type="dxa" w:w="2041"/>
          </w:tcPr>
          <w:p>
            <w:pPr>
              <w:spacing w:before="0" w:after="0"/>
              <w:jc w:val="left"/>
            </w:pPr>
            <w:r>
              <w:rPr>
                <w:rFonts w:ascii="Arial" w:hAnsi="Arial"/>
                <w:b w:val="0"/>
                <w:sz w:val="22"/>
              </w:rPr>
              <w:t>TOTAL Energies</w:t>
            </w:r>
          </w:p>
        </w:tc>
        <w:tc>
          <w:tcPr>
            <w:tcW w:type="dxa" w:w="2041"/>
          </w:tcPr>
          <w:p>
            <w:pPr>
              <w:spacing w:before="0" w:after="0"/>
              <w:jc w:val="left"/>
            </w:pPr>
            <w:r>
              <w:rPr>
                <w:rFonts w:ascii="Arial" w:hAnsi="Arial"/>
                <w:b w:val="0"/>
                <w:sz w:val="22"/>
              </w:rPr>
              <w:t>Gall Thomson</w:t>
            </w:r>
          </w:p>
        </w:tc>
        <w:tc>
          <w:tcPr>
            <w:tcW w:type="dxa" w:w="2041"/>
          </w:tcPr>
          <w:p>
            <w:pPr>
              <w:spacing w:before="0" w:after="0"/>
              <w:jc w:val="left"/>
            </w:pPr>
            <w:r>
              <w:rPr>
                <w:rFonts w:ascii="Arial" w:hAnsi="Arial"/>
                <w:b w:val="0"/>
                <w:sz w:val="22"/>
              </w:rPr>
              <w:t>Breakaway systems</w:t>
            </w:r>
          </w:p>
        </w:tc>
        <w:tc>
          <w:tcPr>
            <w:tcW w:type="dxa" w:w="2041"/>
          </w:tcPr>
          <w:p>
            <w:pPr>
              <w:spacing w:before="0" w:after="0"/>
              <w:jc w:val="left"/>
            </w:pPr>
            <w:r>
              <w:rPr>
                <w:rFonts w:ascii="Arial" w:hAnsi="Arial"/>
                <w:b w:val="0"/>
                <w:sz w:val="22"/>
              </w:rPr>
              <w:t>FAT / final inspection</w:t>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PDM&amp;S</w:t>
            </w:r>
          </w:p>
        </w:tc>
        <w:tc>
          <w:tcPr>
            <w:tcW w:type="dxa" w:w="2041"/>
          </w:tcPr>
          <w:p>
            <w:pPr>
              <w:spacing w:before="0" w:after="0"/>
              <w:jc w:val="left"/>
            </w:pPr>
            <w:r>
              <w:rPr>
                <w:rFonts w:ascii="Arial" w:hAnsi="Arial"/>
                <w:b w:val="0"/>
                <w:sz w:val="22"/>
              </w:rPr>
              <w:t>Corinj</w:t>
            </w:r>
          </w:p>
        </w:tc>
        <w:tc>
          <w:tcPr>
            <w:tcW w:type="dxa" w:w="2041"/>
          </w:tcPr>
          <w:p>
            <w:pPr>
              <w:spacing w:before="0" w:after="0"/>
              <w:jc w:val="left"/>
            </w:pPr>
            <w:r>
              <w:rPr>
                <w:rFonts w:ascii="Arial" w:hAnsi="Arial"/>
                <w:b w:val="0"/>
                <w:sz w:val="22"/>
              </w:rPr>
              <w:t>Pressure equipment / Chemical Injection</w:t>
            </w:r>
          </w:p>
        </w:tc>
        <w:tc>
          <w:tcPr>
            <w:tcW w:type="dxa" w:w="2041"/>
          </w:tcPr>
          <w:p>
            <w:pPr>
              <w:spacing w:before="0" w:after="0"/>
              <w:jc w:val="left"/>
            </w:pPr>
            <w:r>
              <w:rPr>
                <w:rFonts w:ascii="Arial" w:hAnsi="Arial"/>
                <w:b w:val="0"/>
                <w:sz w:val="22"/>
              </w:rPr>
              <w:t>Pressure test / final inspection</w:t>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Total Energies</w:t>
            </w:r>
          </w:p>
        </w:tc>
        <w:tc>
          <w:tcPr>
            <w:tcW w:type="dxa" w:w="2041"/>
          </w:tcPr>
          <w:p>
            <w:pPr>
              <w:spacing w:before="0" w:after="0"/>
              <w:jc w:val="left"/>
            </w:pPr>
            <w:r>
              <w:rPr>
                <w:rFonts w:ascii="Arial" w:hAnsi="Arial"/>
                <w:b w:val="0"/>
                <w:sz w:val="22"/>
              </w:rPr>
              <w:t>ExHeat</w:t>
            </w:r>
          </w:p>
        </w:tc>
        <w:tc>
          <w:tcPr>
            <w:tcW w:type="dxa" w:w="2041"/>
          </w:tcPr>
          <w:p>
            <w:pPr>
              <w:spacing w:before="0" w:after="0"/>
              <w:jc w:val="left"/>
            </w:pPr>
            <w:r>
              <w:rPr>
                <w:rFonts w:ascii="Arial" w:hAnsi="Arial"/>
                <w:b w:val="0"/>
                <w:sz w:val="22"/>
              </w:rPr>
              <w:t>HP Flare Drum Heater c/w Heating Element Bundle</w:t>
            </w:r>
          </w:p>
        </w:tc>
        <w:tc>
          <w:tcPr>
            <w:tcW w:type="dxa" w:w="2041"/>
          </w:tcPr>
          <w:p>
            <w:pPr>
              <w:spacing w:before="0" w:after="0"/>
              <w:jc w:val="left"/>
            </w:pPr>
            <w:r>
              <w:rPr>
                <w:rFonts w:ascii="Arial" w:hAnsi="Arial"/>
                <w:b w:val="0"/>
                <w:sz w:val="22"/>
              </w:rPr>
              <w:t>Hydro./Electrical/ Final Inspections</w:t>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Baker Hughes</w:t>
            </w:r>
          </w:p>
        </w:tc>
        <w:tc>
          <w:tcPr>
            <w:tcW w:type="dxa" w:w="2041"/>
          </w:tcPr>
          <w:p>
            <w:pPr>
              <w:spacing w:before="0" w:after="0"/>
              <w:jc w:val="left"/>
            </w:pPr>
            <w:r>
              <w:rPr>
                <w:rFonts w:ascii="Arial" w:hAnsi="Arial"/>
                <w:b w:val="0"/>
                <w:sz w:val="22"/>
              </w:rPr>
              <w:t>Aquaterra Energy</w:t>
            </w:r>
          </w:p>
        </w:tc>
        <w:tc>
          <w:tcPr>
            <w:tcW w:type="dxa" w:w="2041"/>
          </w:tcPr>
          <w:p>
            <w:pPr>
              <w:spacing w:before="0" w:after="0"/>
              <w:jc w:val="left"/>
            </w:pPr>
            <w:r>
              <w:rPr>
                <w:rFonts w:ascii="Arial" w:hAnsi="Arial"/>
                <w:b w:val="0"/>
                <w:sz w:val="22"/>
              </w:rPr>
              <w:t>Offshore equipment – spools, valves and drilling equipment</w:t>
            </w:r>
          </w:p>
        </w:tc>
        <w:tc>
          <w:tcPr>
            <w:tcW w:type="dxa" w:w="2041"/>
          </w:tcPr>
          <w:p>
            <w:pPr>
              <w:spacing w:before="0" w:after="0"/>
              <w:jc w:val="left"/>
            </w:pPr>
            <w:r>
              <w:rPr>
                <w:rFonts w:ascii="Arial" w:hAnsi="Arial"/>
                <w:b w:val="0"/>
                <w:sz w:val="22"/>
              </w:rPr>
              <w:t>Final / load-out inspection</w:t>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Delta Pacific Valves (DPV-UK)</w:t>
            </w:r>
          </w:p>
        </w:tc>
        <w:tc>
          <w:tcPr>
            <w:tcW w:type="dxa" w:w="2041"/>
          </w:tcPr>
          <w:p>
            <w:pPr>
              <w:spacing w:before="0" w:after="0"/>
              <w:jc w:val="left"/>
            </w:pPr>
            <w:r>
              <w:rPr>
                <w:rFonts w:ascii="Arial" w:hAnsi="Arial"/>
                <w:b w:val="0"/>
                <w:sz w:val="22"/>
              </w:rPr>
              <w:t>DPV-UK</w:t>
            </w:r>
          </w:p>
        </w:tc>
        <w:tc>
          <w:tcPr>
            <w:tcW w:type="dxa" w:w="2041"/>
          </w:tcPr>
          <w:p>
            <w:pPr>
              <w:spacing w:before="0" w:after="0"/>
              <w:jc w:val="left"/>
            </w:pPr>
            <w:r>
              <w:rPr>
                <w:rFonts w:ascii="Arial" w:hAnsi="Arial"/>
                <w:b w:val="0"/>
                <w:sz w:val="22"/>
              </w:rPr>
              <w:t>Various valves</w:t>
            </w:r>
          </w:p>
        </w:tc>
        <w:tc>
          <w:tcPr>
            <w:tcW w:type="dxa" w:w="2041"/>
          </w:tcPr>
          <w:p>
            <w:pPr>
              <w:spacing w:before="0" w:after="0"/>
              <w:jc w:val="left"/>
            </w:pPr>
            <w:r>
              <w:rPr>
                <w:rFonts w:ascii="Arial" w:hAnsi="Arial"/>
                <w:b w:val="0"/>
                <w:sz w:val="22"/>
              </w:rPr>
              <w:t>Pressure testing</w:t>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MODEC</w:t>
            </w:r>
          </w:p>
        </w:tc>
        <w:tc>
          <w:tcPr>
            <w:tcW w:type="dxa" w:w="2041"/>
          </w:tcPr>
          <w:p>
            <w:pPr>
              <w:spacing w:before="0" w:after="0"/>
              <w:jc w:val="left"/>
            </w:pPr>
            <w:r>
              <w:rPr>
                <w:rFonts w:ascii="Arial" w:hAnsi="Arial"/>
                <w:b w:val="0"/>
                <w:sz w:val="22"/>
              </w:rPr>
              <w:t>Amarinth</w:t>
            </w:r>
          </w:p>
        </w:tc>
        <w:tc>
          <w:tcPr>
            <w:tcW w:type="dxa" w:w="2041"/>
          </w:tcPr>
          <w:p>
            <w:pPr>
              <w:spacing w:before="0" w:after="0"/>
              <w:jc w:val="left"/>
            </w:pPr>
            <w:r>
              <w:rPr>
                <w:rFonts w:ascii="Arial" w:hAnsi="Arial"/>
                <w:b w:val="0"/>
                <w:sz w:val="22"/>
              </w:rPr>
              <w:t>Pump packages</w:t>
            </w:r>
          </w:p>
        </w:tc>
        <w:tc>
          <w:tcPr>
            <w:tcW w:type="dxa" w:w="2041"/>
          </w:tcPr>
          <w:p>
            <w:pPr>
              <w:spacing w:before="0" w:after="0"/>
              <w:jc w:val="left"/>
            </w:pPr>
            <w:r>
              <w:rPr>
                <w:rFonts w:ascii="Arial" w:hAnsi="Arial"/>
                <w:b w:val="0"/>
                <w:sz w:val="22"/>
              </w:rPr>
              <w:t>Final dimensional inspection, packing and document review</w:t>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KANFA Group</w:t>
            </w:r>
          </w:p>
        </w:tc>
        <w:tc>
          <w:tcPr>
            <w:tcW w:type="dxa" w:w="2041"/>
          </w:tcPr>
          <w:p>
            <w:pPr>
              <w:spacing w:before="0" w:after="0"/>
              <w:jc w:val="left"/>
            </w:pPr>
            <w:r>
              <w:rPr>
                <w:rFonts w:ascii="Arial" w:hAnsi="Arial"/>
                <w:b w:val="0"/>
                <w:sz w:val="22"/>
              </w:rPr>
              <w:t>Amarinth</w:t>
            </w:r>
          </w:p>
        </w:tc>
        <w:tc>
          <w:tcPr>
            <w:tcW w:type="dxa" w:w="2041"/>
          </w:tcPr>
          <w:p>
            <w:pPr>
              <w:spacing w:before="0" w:after="0"/>
              <w:jc w:val="left"/>
            </w:pPr>
            <w:r>
              <w:rPr>
                <w:rFonts w:ascii="Arial" w:hAnsi="Arial"/>
                <w:b w:val="0"/>
                <w:sz w:val="22"/>
              </w:rPr>
              <w:t>Pump packages</w:t>
            </w:r>
          </w:p>
        </w:tc>
        <w:tc>
          <w:tcPr>
            <w:tcW w:type="dxa" w:w="2041"/>
          </w:tcPr>
          <w:p>
            <w:pPr>
              <w:spacing w:before="0" w:after="0"/>
              <w:jc w:val="left"/>
            </w:pPr>
            <w:r>
              <w:rPr>
                <w:rFonts w:ascii="Arial" w:hAnsi="Arial"/>
                <w:b w:val="0"/>
                <w:sz w:val="22"/>
              </w:rPr>
              <w:t>FAT / final dimensional inspection, packing and document review</w:t>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QatarEnergy LNG</w:t>
            </w:r>
          </w:p>
        </w:tc>
        <w:tc>
          <w:tcPr>
            <w:tcW w:type="dxa" w:w="2041"/>
          </w:tcPr>
          <w:p>
            <w:pPr>
              <w:spacing w:before="0" w:after="0"/>
              <w:jc w:val="left"/>
            </w:pPr>
            <w:r>
              <w:rPr>
                <w:rFonts w:ascii="Arial" w:hAnsi="Arial"/>
                <w:b w:val="0"/>
                <w:sz w:val="22"/>
              </w:rPr>
              <w:t>JDR</w:t>
            </w:r>
          </w:p>
        </w:tc>
        <w:tc>
          <w:tcPr>
            <w:tcW w:type="dxa" w:w="2041"/>
          </w:tcPr>
          <w:p>
            <w:pPr>
              <w:spacing w:before="0" w:after="0"/>
              <w:jc w:val="left"/>
            </w:pPr>
            <w:r>
              <w:rPr>
                <w:rFonts w:ascii="Arial" w:hAnsi="Arial"/>
                <w:b w:val="0"/>
                <w:sz w:val="22"/>
              </w:rPr>
              <w:t>Umbilical system</w:t>
            </w:r>
          </w:p>
        </w:tc>
        <w:tc>
          <w:tcPr>
            <w:tcW w:type="dxa" w:w="2041"/>
          </w:tcPr>
          <w:p>
            <w:pPr>
              <w:spacing w:before="0" w:after="0"/>
              <w:jc w:val="left"/>
            </w:pPr>
            <w:r>
              <w:rPr>
                <w:rFonts w:ascii="Arial" w:hAnsi="Arial"/>
                <w:b w:val="0"/>
                <w:sz w:val="22"/>
              </w:rPr>
              <w:t>FAT / pressure testing</w:t>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KBR</w:t>
            </w:r>
          </w:p>
        </w:tc>
        <w:tc>
          <w:tcPr>
            <w:tcW w:type="dxa" w:w="2041"/>
          </w:tcPr>
          <w:p>
            <w:pPr>
              <w:spacing w:before="0" w:after="0"/>
              <w:jc w:val="left"/>
            </w:pPr>
            <w:r>
              <w:rPr>
                <w:rFonts w:ascii="Arial" w:hAnsi="Arial"/>
                <w:b w:val="0"/>
                <w:sz w:val="22"/>
              </w:rPr>
              <w:t>ADANAC</w:t>
            </w:r>
          </w:p>
        </w:tc>
        <w:tc>
          <w:tcPr>
            <w:tcW w:type="dxa" w:w="2041"/>
          </w:tcPr>
          <w:p>
            <w:pPr>
              <w:spacing w:before="0" w:after="0"/>
              <w:jc w:val="left"/>
            </w:pPr>
            <w:r>
              <w:rPr>
                <w:rFonts w:ascii="Arial" w:hAnsi="Arial"/>
                <w:b w:val="0"/>
                <w:sz w:val="22"/>
              </w:rPr>
              <w:t>Various valves</w:t>
            </w:r>
          </w:p>
        </w:tc>
        <w:tc>
          <w:tcPr>
            <w:tcW w:type="dxa" w:w="2041"/>
          </w:tcPr>
          <w:p>
            <w:pPr>
              <w:spacing w:before="0" w:after="0"/>
              <w:jc w:val="left"/>
            </w:pPr>
            <w:r>
              <w:rPr>
                <w:rFonts w:ascii="Arial" w:hAnsi="Arial"/>
                <w:b w:val="0"/>
                <w:sz w:val="22"/>
              </w:rPr>
              <w:t>Hydrostatic testing / FAT</w:t>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Metlen Energy &amp; Metals S.A.</w:t>
            </w:r>
          </w:p>
        </w:tc>
        <w:tc>
          <w:tcPr>
            <w:tcW w:type="dxa" w:w="2041"/>
          </w:tcPr>
          <w:p>
            <w:pPr>
              <w:spacing w:before="0" w:after="0"/>
              <w:jc w:val="left"/>
            </w:pPr>
            <w:r>
              <w:rPr>
                <w:rFonts w:ascii="Arial" w:hAnsi="Arial"/>
                <w:b w:val="0"/>
                <w:sz w:val="22"/>
              </w:rPr>
              <w:t>ADANAC</w:t>
            </w:r>
          </w:p>
        </w:tc>
        <w:tc>
          <w:tcPr>
            <w:tcW w:type="dxa" w:w="2041"/>
          </w:tcPr>
          <w:p>
            <w:pPr>
              <w:spacing w:before="0" w:after="0"/>
              <w:jc w:val="left"/>
            </w:pPr>
            <w:r>
              <w:rPr>
                <w:rFonts w:ascii="Arial" w:hAnsi="Arial"/>
                <w:b w:val="0"/>
                <w:sz w:val="22"/>
              </w:rPr>
              <w:t>Valve packages</w:t>
            </w:r>
          </w:p>
        </w:tc>
        <w:tc>
          <w:tcPr>
            <w:tcW w:type="dxa" w:w="2041"/>
          </w:tcPr>
          <w:p>
            <w:pPr>
              <w:spacing w:before="0" w:after="0"/>
              <w:jc w:val="left"/>
            </w:pPr>
            <w:r>
              <w:rPr>
                <w:rFonts w:ascii="Arial" w:hAnsi="Arial"/>
                <w:b w:val="0"/>
                <w:sz w:val="22"/>
              </w:rPr>
              <w:t>Pressure test / final inspection</w:t>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Arabian Industries Middle East</w:t>
            </w:r>
          </w:p>
        </w:tc>
        <w:tc>
          <w:tcPr>
            <w:tcW w:type="dxa" w:w="2041"/>
          </w:tcPr>
          <w:p>
            <w:pPr>
              <w:spacing w:before="0" w:after="0"/>
              <w:jc w:val="left"/>
            </w:pPr>
            <w:r>
              <w:rPr>
                <w:rFonts w:ascii="Arial" w:hAnsi="Arial"/>
                <w:b w:val="0"/>
                <w:sz w:val="22"/>
              </w:rPr>
              <w:t>Amarinth</w:t>
            </w:r>
          </w:p>
        </w:tc>
        <w:tc>
          <w:tcPr>
            <w:tcW w:type="dxa" w:w="2041"/>
          </w:tcPr>
          <w:p>
            <w:pPr>
              <w:spacing w:before="0" w:after="0"/>
              <w:jc w:val="left"/>
            </w:pPr>
            <w:r>
              <w:rPr>
                <w:rFonts w:ascii="Arial" w:hAnsi="Arial"/>
                <w:b w:val="0"/>
                <w:sz w:val="22"/>
              </w:rPr>
              <w:t>Pump packages</w:t>
            </w:r>
          </w:p>
        </w:tc>
        <w:tc>
          <w:tcPr>
            <w:tcW w:type="dxa" w:w="2041"/>
          </w:tcPr>
          <w:p>
            <w:pPr>
              <w:spacing w:before="0" w:after="0"/>
              <w:jc w:val="left"/>
            </w:pPr>
            <w:r>
              <w:rPr>
                <w:rFonts w:ascii="Arial" w:hAnsi="Arial"/>
                <w:b w:val="0"/>
                <w:sz w:val="22"/>
              </w:rPr>
              <w:t>FAT / final dimensional inspection, packing and document review</w:t>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ADNOC</w:t>
            </w:r>
          </w:p>
        </w:tc>
        <w:tc>
          <w:tcPr>
            <w:tcW w:type="dxa" w:w="2041"/>
          </w:tcPr>
          <w:p>
            <w:pPr>
              <w:spacing w:before="0" w:after="0"/>
              <w:jc w:val="left"/>
            </w:pPr>
            <w:r>
              <w:rPr>
                <w:rFonts w:ascii="Arial" w:hAnsi="Arial"/>
                <w:b w:val="0"/>
                <w:sz w:val="22"/>
              </w:rPr>
              <w:t>Amarinth</w:t>
            </w:r>
          </w:p>
        </w:tc>
        <w:tc>
          <w:tcPr>
            <w:tcW w:type="dxa" w:w="2041"/>
          </w:tcPr>
          <w:p>
            <w:pPr>
              <w:spacing w:before="0" w:after="0"/>
              <w:jc w:val="left"/>
            </w:pPr>
            <w:r>
              <w:rPr>
                <w:rFonts w:ascii="Arial" w:hAnsi="Arial"/>
                <w:b w:val="0"/>
                <w:sz w:val="22"/>
              </w:rPr>
              <w:t>Pump packages</w:t>
            </w:r>
          </w:p>
        </w:tc>
        <w:tc>
          <w:tcPr>
            <w:tcW w:type="dxa" w:w="2041"/>
          </w:tcPr>
          <w:p>
            <w:pPr>
              <w:spacing w:before="0" w:after="0"/>
              <w:jc w:val="left"/>
            </w:pPr>
            <w:r>
              <w:rPr>
                <w:rFonts w:ascii="Arial" w:hAnsi="Arial"/>
                <w:b w:val="0"/>
                <w:sz w:val="22"/>
              </w:rPr>
              <w:t>FAT / final dimensional inspection, packing and document review</w:t>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Exxon</w:t>
            </w:r>
          </w:p>
        </w:tc>
        <w:tc>
          <w:tcPr>
            <w:tcW w:type="dxa" w:w="2041"/>
          </w:tcPr>
          <w:p>
            <w:pPr>
              <w:spacing w:before="0" w:after="0"/>
              <w:jc w:val="left"/>
            </w:pPr>
            <w:r>
              <w:rPr>
                <w:rFonts w:ascii="Arial" w:hAnsi="Arial"/>
                <w:b w:val="0"/>
                <w:sz w:val="22"/>
              </w:rPr>
              <w:t>Gall Thomson</w:t>
            </w:r>
          </w:p>
        </w:tc>
        <w:tc>
          <w:tcPr>
            <w:tcW w:type="dxa" w:w="2041"/>
          </w:tcPr>
          <w:p>
            <w:pPr>
              <w:spacing w:before="0" w:after="0"/>
              <w:jc w:val="left"/>
            </w:pPr>
            <w:r>
              <w:rPr>
                <w:rFonts w:ascii="Arial" w:hAnsi="Arial"/>
                <w:b w:val="0"/>
                <w:sz w:val="22"/>
              </w:rPr>
              <w:t>Marine transfer / breakaway equipment</w:t>
            </w:r>
          </w:p>
        </w:tc>
        <w:tc>
          <w:tcPr>
            <w:tcW w:type="dxa" w:w="2041"/>
          </w:tcPr>
          <w:p>
            <w:pPr>
              <w:spacing w:before="0" w:after="0"/>
              <w:jc w:val="left"/>
            </w:pPr>
            <w:r>
              <w:rPr>
                <w:rFonts w:ascii="Arial" w:hAnsi="Arial"/>
                <w:b w:val="0"/>
                <w:sz w:val="22"/>
              </w:rPr>
              <w:t>FAT / final inspection</w:t>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TOTAL Energies</w:t>
            </w:r>
          </w:p>
        </w:tc>
        <w:tc>
          <w:tcPr>
            <w:tcW w:type="dxa" w:w="2041"/>
          </w:tcPr>
          <w:p>
            <w:pPr>
              <w:spacing w:before="0" w:after="0"/>
              <w:jc w:val="left"/>
            </w:pPr>
            <w:r>
              <w:rPr>
                <w:rFonts w:ascii="Arial" w:hAnsi="Arial"/>
                <w:b w:val="0"/>
                <w:sz w:val="22"/>
              </w:rPr>
              <w:t>Petrotech</w:t>
            </w:r>
          </w:p>
        </w:tc>
        <w:tc>
          <w:tcPr>
            <w:tcW w:type="dxa" w:w="2041"/>
          </w:tcPr>
          <w:p>
            <w:pPr>
              <w:spacing w:before="0" w:after="0"/>
              <w:jc w:val="left"/>
            </w:pPr>
            <w:r>
              <w:rPr>
                <w:rFonts w:ascii="Arial" w:hAnsi="Arial"/>
                <w:b w:val="0"/>
                <w:sz w:val="22"/>
              </w:rPr>
              <w:t>Controller for Fire Water Pump Package</w:t>
            </w:r>
          </w:p>
        </w:tc>
        <w:tc>
          <w:tcPr>
            <w:tcW w:type="dxa" w:w="2041"/>
          </w:tcPr>
          <w:p>
            <w:pPr>
              <w:spacing w:before="0" w:after="0"/>
              <w:jc w:val="left"/>
            </w:pPr>
            <w:r>
              <w:rPr>
                <w:rFonts w:ascii="Arial" w:hAnsi="Arial"/>
                <w:b w:val="0"/>
                <w:sz w:val="22"/>
              </w:rPr>
              <w:t>FAT/ FInal</w:t>
            </w:r>
          </w:p>
        </w:tc>
        <w:tc>
          <w:tcPr>
            <w:tcW w:type="dxa" w:w="2041"/>
          </w:tcPr>
          <w:p>
            <w:pPr>
              <w:spacing w:before="0" w:after="0"/>
              <w:jc w:val="left"/>
            </w:pPr>
            <w:r>
              <w:rPr>
                <w:rFonts w:ascii="Arial" w:hAnsi="Arial"/>
                <w:b w:val="0"/>
                <w:sz w:val="22"/>
              </w:rPr>
            </w:r>
          </w:p>
        </w:tc>
      </w:tr>
      <w:tr>
        <w:tc>
          <w:tcPr>
            <w:tcW w:type="dxa" w:w="2041"/>
          </w:tcPr>
          <w:p>
            <w:pPr>
              <w:spacing w:before="0" w:after="0"/>
              <w:jc w:val="left"/>
            </w:pPr>
            <w:r>
              <w:rPr>
                <w:rFonts w:ascii="Arial" w:hAnsi="Arial"/>
                <w:b w:val="0"/>
                <w:sz w:val="22"/>
              </w:rPr>
              <w:t>Year</w:t>
            </w:r>
          </w:p>
        </w:tc>
        <w:tc>
          <w:tcPr>
            <w:tcW w:type="dxa" w:w="2041"/>
          </w:tcPr>
          <w:p>
            <w:pPr>
              <w:spacing w:before="0" w:after="0"/>
              <w:jc w:val="left"/>
            </w:pPr>
            <w:r>
              <w:rPr>
                <w:rFonts w:ascii="Arial" w:hAnsi="Arial"/>
                <w:b w:val="0"/>
                <w:sz w:val="22"/>
              </w:rPr>
              <w:t>Client / Project</w:t>
            </w:r>
          </w:p>
        </w:tc>
        <w:tc>
          <w:tcPr>
            <w:tcW w:type="dxa" w:w="2041"/>
          </w:tcPr>
          <w:p>
            <w:pPr>
              <w:spacing w:before="0" w:after="0"/>
              <w:jc w:val="left"/>
            </w:pPr>
            <w:r>
              <w:rPr>
                <w:rFonts w:ascii="Arial" w:hAnsi="Arial"/>
                <w:b w:val="0"/>
                <w:sz w:val="22"/>
              </w:rPr>
              <w:t>Vendor / Facility</w:t>
            </w:r>
          </w:p>
        </w:tc>
        <w:tc>
          <w:tcPr>
            <w:tcW w:type="dxa" w:w="2041"/>
          </w:tcPr>
          <w:p>
            <w:pPr>
              <w:spacing w:before="0" w:after="0"/>
              <w:jc w:val="left"/>
            </w:pPr>
            <w:r>
              <w:rPr>
                <w:rFonts w:ascii="Arial" w:hAnsi="Arial"/>
                <w:b w:val="0"/>
                <w:sz w:val="22"/>
              </w:rPr>
              <w:t>Equipment / Commodity</w:t>
            </w:r>
          </w:p>
        </w:tc>
        <w:tc>
          <w:tcPr>
            <w:tcW w:type="dxa" w:w="2041"/>
          </w:tcPr>
          <w:p>
            <w:pPr>
              <w:spacing w:before="0" w:after="0"/>
              <w:jc w:val="left"/>
            </w:pPr>
            <w:r>
              <w:rPr>
                <w:rFonts w:ascii="Arial" w:hAnsi="Arial"/>
                <w:b w:val="0"/>
                <w:sz w:val="22"/>
              </w:rPr>
              <w:t>Representative Scope</w:t>
            </w:r>
          </w:p>
        </w:tc>
      </w:tr>
      <w:tr>
        <w:tc>
          <w:tcPr>
            <w:tcW w:type="dxa" w:w="2041"/>
          </w:tcPr>
          <w:p>
            <w:pPr>
              <w:spacing w:before="0" w:after="0"/>
              <w:jc w:val="left"/>
            </w:pPr>
            <w:r>
              <w:rPr>
                <w:rFonts w:ascii="Arial" w:hAnsi="Arial"/>
                <w:b w:val="0"/>
                <w:sz w:val="22"/>
              </w:rPr>
              <w:t>2012-13</w:t>
            </w:r>
          </w:p>
        </w:tc>
        <w:tc>
          <w:tcPr>
            <w:tcW w:type="dxa" w:w="2041"/>
          </w:tcPr>
          <w:p>
            <w:pPr>
              <w:spacing w:before="0" w:after="0"/>
              <w:jc w:val="left"/>
            </w:pPr>
            <w:r>
              <w:rPr>
                <w:rFonts w:ascii="Arial" w:hAnsi="Arial"/>
                <w:b w:val="0"/>
                <w:sz w:val="22"/>
              </w:rPr>
              <w:t>GDF Suez</w:t>
            </w:r>
          </w:p>
        </w:tc>
        <w:tc>
          <w:tcPr>
            <w:tcW w:type="dxa" w:w="2041"/>
          </w:tcPr>
          <w:p>
            <w:pPr>
              <w:spacing w:before="0" w:after="0"/>
              <w:jc w:val="left"/>
            </w:pPr>
            <w:r>
              <w:rPr>
                <w:rFonts w:ascii="Arial" w:hAnsi="Arial"/>
                <w:b w:val="0"/>
                <w:sz w:val="22"/>
              </w:rPr>
              <w:t>Proserv / project vendors</w:t>
            </w:r>
          </w:p>
        </w:tc>
        <w:tc>
          <w:tcPr>
            <w:tcW w:type="dxa" w:w="2041"/>
          </w:tcPr>
          <w:p>
            <w:pPr>
              <w:spacing w:before="0" w:after="0"/>
              <w:jc w:val="left"/>
            </w:pPr>
            <w:r>
              <w:rPr>
                <w:rFonts w:ascii="Arial" w:hAnsi="Arial"/>
                <w:b w:val="0"/>
                <w:sz w:val="22"/>
              </w:rPr>
              <w:t>HPU, EPU, SCM, SCMMB, SDU, TUTU, SAM / subsea controls</w:t>
            </w:r>
          </w:p>
        </w:tc>
        <w:tc>
          <w:tcPr>
            <w:tcW w:type="dxa" w:w="2041"/>
          </w:tcPr>
          <w:p>
            <w:pPr>
              <w:spacing w:before="0" w:after="0"/>
              <w:jc w:val="left"/>
            </w:pPr>
            <w:r>
              <w:rPr>
                <w:rFonts w:ascii="Arial" w:hAnsi="Arial"/>
                <w:b w:val="0"/>
                <w:sz w:val="22"/>
              </w:rPr>
              <w:t>Extended vendor surveillance; kick-off/ITP activity; FAT and integration/test witnessing; documentation, concession and punch-list review; inspection reporting and release.</w:t>
            </w:r>
          </w:p>
        </w:tc>
      </w:tr>
      <w:tr>
        <w:tc>
          <w:tcPr>
            <w:tcW w:type="dxa" w:w="2041"/>
          </w:tcPr>
          <w:p>
            <w:pPr>
              <w:spacing w:before="0" w:after="0"/>
              <w:jc w:val="left"/>
            </w:pPr>
            <w:r>
              <w:rPr>
                <w:rFonts w:ascii="Arial" w:hAnsi="Arial"/>
                <w:b w:val="0"/>
                <w:sz w:val="22"/>
              </w:rPr>
              <w:t>2012</w:t>
            </w:r>
          </w:p>
        </w:tc>
        <w:tc>
          <w:tcPr>
            <w:tcW w:type="dxa" w:w="2041"/>
          </w:tcPr>
          <w:p>
            <w:pPr>
              <w:spacing w:before="0" w:after="0"/>
              <w:jc w:val="left"/>
            </w:pPr>
            <w:r>
              <w:rPr>
                <w:rFonts w:ascii="Arial" w:hAnsi="Arial"/>
                <w:b w:val="0"/>
                <w:sz w:val="22"/>
              </w:rPr>
              <w:t>Chevron</w:t>
            </w:r>
          </w:p>
        </w:tc>
        <w:tc>
          <w:tcPr>
            <w:tcW w:type="dxa" w:w="2041"/>
          </w:tcPr>
          <w:p>
            <w:pPr>
              <w:spacing w:before="0" w:after="0"/>
              <w:jc w:val="left"/>
            </w:pPr>
            <w:r>
              <w:rPr>
                <w:rFonts w:ascii="Arial" w:hAnsi="Arial"/>
                <w:b w:val="0"/>
                <w:sz w:val="22"/>
              </w:rPr>
              <w:t>Proserv</w:t>
            </w:r>
          </w:p>
        </w:tc>
        <w:tc>
          <w:tcPr>
            <w:tcW w:type="dxa" w:w="2041"/>
          </w:tcPr>
          <w:p>
            <w:pPr>
              <w:spacing w:before="0" w:after="0"/>
              <w:jc w:val="left"/>
            </w:pPr>
            <w:r>
              <w:rPr>
                <w:rFonts w:ascii="Arial" w:hAnsi="Arial"/>
                <w:b w:val="0"/>
                <w:sz w:val="22"/>
              </w:rPr>
              <w:t>Subsea control / packaged equipment</w:t>
            </w:r>
          </w:p>
        </w:tc>
        <w:tc>
          <w:tcPr>
            <w:tcW w:type="dxa" w:w="2041"/>
          </w:tcPr>
          <w:p>
            <w:pPr>
              <w:spacing w:before="0" w:after="0"/>
              <w:jc w:val="left"/>
            </w:pPr>
            <w:r>
              <w:rPr>
                <w:rFonts w:ascii="Arial" w:hAnsi="Arial"/>
                <w:b w:val="0"/>
                <w:sz w:val="22"/>
              </w:rPr>
              <w:t>Inspection and test witnessing supported by client test documentation; documentation review, inspection reporting and release activities.</w:t>
            </w:r>
          </w:p>
        </w:tc>
      </w:tr>
      <w:tr>
        <w:tc>
          <w:tcPr>
            <w:tcW w:type="dxa" w:w="2041"/>
          </w:tcPr>
          <w:p>
            <w:pPr>
              <w:spacing w:before="0" w:after="0"/>
              <w:jc w:val="left"/>
            </w:pPr>
            <w:r>
              <w:rPr>
                <w:rFonts w:ascii="Arial" w:hAnsi="Arial"/>
                <w:b w:val="0"/>
                <w:sz w:val="22"/>
              </w:rPr>
              <w:t>2014</w:t>
            </w:r>
          </w:p>
        </w:tc>
        <w:tc>
          <w:tcPr>
            <w:tcW w:type="dxa" w:w="2041"/>
          </w:tcPr>
          <w:p>
            <w:pPr>
              <w:spacing w:before="0" w:after="0"/>
              <w:jc w:val="left"/>
            </w:pPr>
            <w:r>
              <w:rPr>
                <w:rFonts w:ascii="Arial" w:hAnsi="Arial"/>
                <w:b w:val="0"/>
                <w:sz w:val="22"/>
              </w:rPr>
              <w:t>BP project</w:t>
            </w:r>
          </w:p>
        </w:tc>
        <w:tc>
          <w:tcPr>
            <w:tcW w:type="dxa" w:w="2041"/>
          </w:tcPr>
          <w:p>
            <w:pPr>
              <w:spacing w:before="0" w:after="0"/>
              <w:jc w:val="left"/>
            </w:pPr>
            <w:r>
              <w:rPr>
                <w:rFonts w:ascii="Arial" w:hAnsi="Arial"/>
                <w:b w:val="0"/>
                <w:sz w:val="22"/>
              </w:rPr>
              <w:t>Weatherford</w:t>
            </w:r>
          </w:p>
        </w:tc>
        <w:tc>
          <w:tcPr>
            <w:tcW w:type="dxa" w:w="2041"/>
          </w:tcPr>
          <w:p>
            <w:pPr>
              <w:spacing w:before="0" w:after="0"/>
              <w:jc w:val="left"/>
            </w:pPr>
            <w:r>
              <w:rPr>
                <w:rFonts w:ascii="Arial" w:hAnsi="Arial"/>
                <w:b w:val="0"/>
                <w:sz w:val="22"/>
              </w:rPr>
              <w:t>Rapid connector / oilfield equipment</w:t>
            </w:r>
          </w:p>
        </w:tc>
        <w:tc>
          <w:tcPr>
            <w:tcW w:type="dxa" w:w="2041"/>
          </w:tcPr>
          <w:p>
            <w:pPr>
              <w:spacing w:before="0" w:after="0"/>
              <w:jc w:val="left"/>
            </w:pPr>
            <w:r>
              <w:rPr>
                <w:rFonts w:ascii="Arial" w:hAnsi="Arial"/>
                <w:b w:val="0"/>
                <w:sz w:val="22"/>
              </w:rPr>
              <w:t>Vendor inspection, documentation review and inspection release across multiple visits / phases.</w:t>
            </w:r>
          </w:p>
        </w:tc>
      </w:tr>
      <w:tr>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t>Aquaterra Energy</w:t>
            </w:r>
          </w:p>
        </w:tc>
        <w:tc>
          <w:tcPr>
            <w:tcW w:type="dxa" w:w="2041"/>
          </w:tcPr>
          <w:p>
            <w:pPr>
              <w:spacing w:before="0" w:after="0"/>
              <w:jc w:val="left"/>
            </w:pPr>
            <w:r>
              <w:rPr>
                <w:rFonts w:ascii="Arial" w:hAnsi="Arial"/>
                <w:b w:val="0"/>
                <w:sz w:val="22"/>
              </w:rPr>
              <w:t>Morgan Cooper</w:t>
            </w:r>
          </w:p>
        </w:tc>
        <w:tc>
          <w:tcPr>
            <w:tcW w:type="dxa" w:w="2041"/>
          </w:tcPr>
          <w:p>
            <w:pPr>
              <w:spacing w:before="0" w:after="0"/>
              <w:jc w:val="left"/>
            </w:pPr>
            <w:r>
              <w:rPr>
                <w:rFonts w:ascii="Arial" w:hAnsi="Arial"/>
                <w:b w:val="0"/>
                <w:sz w:val="22"/>
              </w:rPr>
              <w:t>Rotating / mechanical equipment</w:t>
            </w:r>
          </w:p>
        </w:tc>
        <w:tc>
          <w:tcPr>
            <w:tcW w:type="dxa" w:w="2041"/>
          </w:tcPr>
          <w:p>
            <w:pPr>
              <w:spacing w:before="0" w:after="0"/>
              <w:jc w:val="left"/>
            </w:pPr>
            <w:r>
              <w:rPr>
                <w:rFonts w:ascii="Arial" w:hAnsi="Arial"/>
                <w:b w:val="0"/>
                <w:sz w:val="22"/>
              </w:rPr>
              <w:t>Vendor inspection against Aquaterra scope; document review, follow-up visit and final inspection release.</w:t>
            </w:r>
          </w:p>
        </w:tc>
      </w:tr>
      <w:tr>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t>TEPI / Total</w:t>
            </w:r>
          </w:p>
        </w:tc>
        <w:tc>
          <w:tcPr>
            <w:tcW w:type="dxa" w:w="2041"/>
          </w:tcPr>
          <w:p>
            <w:pPr>
              <w:spacing w:before="0" w:after="0"/>
              <w:jc w:val="left"/>
            </w:pPr>
            <w:r>
              <w:rPr>
                <w:rFonts w:ascii="Arial" w:hAnsi="Arial"/>
                <w:b w:val="0"/>
                <w:sz w:val="22"/>
              </w:rPr>
              <w:t>Gall Thomson</w:t>
            </w:r>
          </w:p>
        </w:tc>
        <w:tc>
          <w:tcPr>
            <w:tcW w:type="dxa" w:w="2041"/>
          </w:tcPr>
          <w:p>
            <w:pPr>
              <w:spacing w:before="0" w:after="0"/>
              <w:jc w:val="left"/>
            </w:pPr>
            <w:r>
              <w:rPr>
                <w:rFonts w:ascii="Arial" w:hAnsi="Arial"/>
                <w:b w:val="0"/>
                <w:sz w:val="22"/>
              </w:rPr>
              <w:t>Marine transfer / coupling equipment</w:t>
            </w:r>
          </w:p>
        </w:tc>
        <w:tc>
          <w:tcPr>
            <w:tcW w:type="dxa" w:w="2041"/>
          </w:tcPr>
          <w:p>
            <w:pPr>
              <w:spacing w:before="0" w:after="0"/>
              <w:jc w:val="left"/>
            </w:pPr>
            <w:r>
              <w:rPr>
                <w:rFonts w:ascii="Arial" w:hAnsi="Arial"/>
                <w:b w:val="0"/>
                <w:sz w:val="22"/>
              </w:rPr>
              <w:t>Vendor inspection and release activity against project notification / purchase order.</w:t>
            </w:r>
          </w:p>
        </w:tc>
      </w:tr>
      <w:tr>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t>Centrica / project work</w:t>
            </w:r>
          </w:p>
        </w:tc>
        <w:tc>
          <w:tcPr>
            <w:tcW w:type="dxa" w:w="2041"/>
          </w:tcPr>
          <w:p>
            <w:pPr>
              <w:spacing w:before="0" w:after="0"/>
              <w:jc w:val="left"/>
            </w:pPr>
            <w:r>
              <w:rPr>
                <w:rFonts w:ascii="Arial" w:hAnsi="Arial"/>
                <w:b w:val="0"/>
                <w:sz w:val="22"/>
              </w:rPr>
              <w:t>TATA Great Yarmouth</w:t>
            </w:r>
          </w:p>
        </w:tc>
        <w:tc>
          <w:tcPr>
            <w:tcW w:type="dxa" w:w="2041"/>
          </w:tcPr>
          <w:p>
            <w:pPr>
              <w:spacing w:before="0" w:after="0"/>
              <w:jc w:val="left"/>
            </w:pPr>
            <w:r>
              <w:rPr>
                <w:rFonts w:ascii="Arial" w:hAnsi="Arial"/>
                <w:b w:val="0"/>
                <w:sz w:val="22"/>
              </w:rPr>
              <w:t>Process / fabricated equipment</w:t>
            </w:r>
          </w:p>
        </w:tc>
        <w:tc>
          <w:tcPr>
            <w:tcW w:type="dxa" w:w="2041"/>
          </w:tcPr>
          <w:p>
            <w:pPr>
              <w:spacing w:before="0" w:after="0"/>
              <w:jc w:val="left"/>
            </w:pPr>
            <w:r>
              <w:rPr>
                <w:rFonts w:ascii="Arial" w:hAnsi="Arial"/>
                <w:b w:val="0"/>
                <w:sz w:val="22"/>
              </w:rPr>
              <w:t>Inspection visits and final inspection release; associated project documentation review.</w:t>
            </w:r>
          </w:p>
        </w:tc>
      </w:tr>
      <w:tr>
        <w:tc>
          <w:tcPr>
            <w:tcW w:type="dxa" w:w="2041"/>
          </w:tcPr>
          <w:p>
            <w:pPr>
              <w:spacing w:before="0" w:after="0"/>
              <w:jc w:val="left"/>
            </w:pPr>
            <w:r>
              <w:rPr>
                <w:rFonts w:ascii="Arial" w:hAnsi="Arial"/>
                <w:b w:val="0"/>
                <w:sz w:val="22"/>
              </w:rPr>
              <w:t>2012</w:t>
            </w:r>
          </w:p>
        </w:tc>
        <w:tc>
          <w:tcPr>
            <w:tcW w:type="dxa" w:w="2041"/>
          </w:tcPr>
          <w:p>
            <w:pPr>
              <w:spacing w:before="0" w:after="0"/>
              <w:jc w:val="left"/>
            </w:pPr>
            <w:r>
              <w:rPr>
                <w:rFonts w:ascii="Arial" w:hAnsi="Arial"/>
                <w:b w:val="0"/>
                <w:sz w:val="22"/>
              </w:rPr>
              <w:t>Subsea project</w:t>
            </w:r>
          </w:p>
        </w:tc>
        <w:tc>
          <w:tcPr>
            <w:tcW w:type="dxa" w:w="2041"/>
          </w:tcPr>
          <w:p>
            <w:pPr>
              <w:spacing w:before="0" w:after="0"/>
              <w:jc w:val="left"/>
            </w:pPr>
            <w:r>
              <w:rPr>
                <w:rFonts w:ascii="Arial" w:hAnsi="Arial"/>
                <w:b w:val="0"/>
                <w:sz w:val="22"/>
              </w:rPr>
              <w:t>SPS Great Yarmouth</w:t>
            </w:r>
          </w:p>
        </w:tc>
        <w:tc>
          <w:tcPr>
            <w:tcW w:type="dxa" w:w="2041"/>
          </w:tcPr>
          <w:p>
            <w:pPr>
              <w:spacing w:before="0" w:after="0"/>
              <w:jc w:val="left"/>
            </w:pPr>
            <w:r>
              <w:rPr>
                <w:rFonts w:ascii="Arial" w:hAnsi="Arial"/>
                <w:b w:val="0"/>
                <w:sz w:val="22"/>
              </w:rPr>
              <w:t>Concrete fleximats / subsea protection</w:t>
            </w:r>
          </w:p>
        </w:tc>
        <w:tc>
          <w:tcPr>
            <w:tcW w:type="dxa" w:w="2041"/>
          </w:tcPr>
          <w:p>
            <w:pPr>
              <w:spacing w:before="0" w:after="0"/>
              <w:jc w:val="left"/>
            </w:pPr>
            <w:r>
              <w:rPr>
                <w:rFonts w:ascii="Arial" w:hAnsi="Arial"/>
                <w:b w:val="0"/>
                <w:sz w:val="22"/>
              </w:rPr>
              <w:t>ITP surveillance, certification review, final inspection and inspection release.</w:t>
            </w:r>
          </w:p>
        </w:tc>
      </w:tr>
      <w:tr>
        <w:tc>
          <w:tcPr>
            <w:tcW w:type="dxa" w:w="2041"/>
          </w:tcPr>
          <w:p>
            <w:pPr>
              <w:spacing w:before="0" w:after="0"/>
              <w:jc w:val="left"/>
            </w:pPr>
            <w:r>
              <w:rPr>
                <w:rFonts w:ascii="Arial" w:hAnsi="Arial"/>
                <w:b w:val="0"/>
                <w:sz w:val="22"/>
              </w:rPr>
              <w:t>2012</w:t>
            </w:r>
          </w:p>
        </w:tc>
        <w:tc>
          <w:tcPr>
            <w:tcW w:type="dxa" w:w="2041"/>
          </w:tcPr>
          <w:p>
            <w:pPr>
              <w:spacing w:before="0" w:after="0"/>
              <w:jc w:val="left"/>
            </w:pPr>
            <w:r>
              <w:rPr>
                <w:rFonts w:ascii="Arial" w:hAnsi="Arial"/>
                <w:b w:val="0"/>
                <w:sz w:val="22"/>
              </w:rPr>
              <w:t>Centrica project</w:t>
            </w:r>
          </w:p>
        </w:tc>
        <w:tc>
          <w:tcPr>
            <w:tcW w:type="dxa" w:w="2041"/>
          </w:tcPr>
          <w:p>
            <w:pPr>
              <w:spacing w:before="0" w:after="0"/>
              <w:jc w:val="left"/>
            </w:pPr>
            <w:r>
              <w:rPr>
                <w:rFonts w:ascii="Arial" w:hAnsi="Arial"/>
                <w:b w:val="0"/>
                <w:sz w:val="22"/>
              </w:rPr>
              <w:t>KSD Engineering</w:t>
            </w:r>
          </w:p>
        </w:tc>
        <w:tc>
          <w:tcPr>
            <w:tcW w:type="dxa" w:w="2041"/>
          </w:tcPr>
          <w:p>
            <w:pPr>
              <w:spacing w:before="0" w:after="0"/>
              <w:jc w:val="left"/>
            </w:pPr>
            <w:r>
              <w:rPr>
                <w:rFonts w:ascii="Arial" w:hAnsi="Arial"/>
                <w:b w:val="0"/>
                <w:sz w:val="22"/>
              </w:rPr>
              <w:t>Fabricated / mechanical equipment</w:t>
            </w:r>
          </w:p>
        </w:tc>
        <w:tc>
          <w:tcPr>
            <w:tcW w:type="dxa" w:w="2041"/>
          </w:tcPr>
          <w:p>
            <w:pPr>
              <w:spacing w:before="0" w:after="0"/>
              <w:jc w:val="left"/>
            </w:pPr>
            <w:r>
              <w:rPr>
                <w:rFonts w:ascii="Arial" w:hAnsi="Arial"/>
                <w:b w:val="0"/>
                <w:sz w:val="22"/>
              </w:rPr>
              <w:t>Final inspection checklist, document review, inspection reporting and release note.</w:t>
            </w:r>
          </w:p>
        </w:tc>
      </w:tr>
      <w:tr>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t>Claxton scope</w:t>
            </w:r>
          </w:p>
        </w:tc>
        <w:tc>
          <w:tcPr>
            <w:tcW w:type="dxa" w:w="2041"/>
          </w:tcPr>
          <w:p>
            <w:pPr>
              <w:spacing w:before="0" w:after="0"/>
              <w:jc w:val="left"/>
            </w:pPr>
            <w:r>
              <w:rPr>
                <w:rFonts w:ascii="Arial" w:hAnsi="Arial"/>
                <w:b w:val="0"/>
                <w:sz w:val="22"/>
              </w:rPr>
              <w:t>BFS Beccles</w:t>
            </w:r>
          </w:p>
        </w:tc>
        <w:tc>
          <w:tcPr>
            <w:tcW w:type="dxa" w:w="2041"/>
          </w:tcPr>
          <w:p>
            <w:pPr>
              <w:spacing w:before="0" w:after="0"/>
              <w:jc w:val="left"/>
            </w:pPr>
            <w:r>
              <w:rPr>
                <w:rFonts w:ascii="Arial" w:hAnsi="Arial"/>
                <w:b w:val="0"/>
                <w:sz w:val="22"/>
              </w:rPr>
              <w:t>Subsea / oilfield equipment</w:t>
            </w:r>
          </w:p>
        </w:tc>
        <w:tc>
          <w:tcPr>
            <w:tcW w:type="dxa" w:w="2041"/>
          </w:tcPr>
          <w:p>
            <w:pPr>
              <w:spacing w:before="0" w:after="0"/>
              <w:jc w:val="left"/>
            </w:pPr>
            <w:r>
              <w:rPr>
                <w:rFonts w:ascii="Arial" w:hAnsi="Arial"/>
                <w:b w:val="0"/>
                <w:sz w:val="22"/>
              </w:rPr>
              <w:t>Inspection to defined Claxton scope, documentation review and final release.</w:t>
            </w:r>
          </w:p>
        </w:tc>
      </w:tr>
      <w:tr>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t>Project assignment</w:t>
            </w:r>
          </w:p>
        </w:tc>
        <w:tc>
          <w:tcPr>
            <w:tcW w:type="dxa" w:w="2041"/>
          </w:tcPr>
          <w:p>
            <w:pPr>
              <w:spacing w:before="0" w:after="0"/>
              <w:jc w:val="left"/>
            </w:pPr>
            <w:r>
              <w:rPr>
                <w:rFonts w:ascii="Arial" w:hAnsi="Arial"/>
                <w:b w:val="0"/>
                <w:sz w:val="22"/>
              </w:rPr>
              <w:t>GE Great Yarmouth</w:t>
            </w:r>
          </w:p>
        </w:tc>
        <w:tc>
          <w:tcPr>
            <w:tcW w:type="dxa" w:w="2041"/>
          </w:tcPr>
          <w:p>
            <w:pPr>
              <w:spacing w:before="0" w:after="0"/>
              <w:jc w:val="left"/>
            </w:pPr>
            <w:r>
              <w:rPr>
                <w:rFonts w:ascii="Arial" w:hAnsi="Arial"/>
                <w:b w:val="0"/>
                <w:sz w:val="22"/>
              </w:rPr>
              <w:t>Electrical / mechanical packaged equipment</w:t>
            </w:r>
          </w:p>
        </w:tc>
        <w:tc>
          <w:tcPr>
            <w:tcW w:type="dxa" w:w="2041"/>
          </w:tcPr>
          <w:p>
            <w:pPr>
              <w:spacing w:before="0" w:after="0"/>
              <w:jc w:val="left"/>
            </w:pPr>
            <w:r>
              <w:rPr>
                <w:rFonts w:ascii="Arial" w:hAnsi="Arial"/>
                <w:b w:val="0"/>
                <w:sz w:val="22"/>
              </w:rPr>
              <w:t>Multi-visit inspection surveillance, reporting and final inspection release.</w:t>
            </w:r>
          </w:p>
        </w:tc>
      </w:tr>
      <w:tr>
        <w:tc>
          <w:tcPr>
            <w:tcW w:type="dxa" w:w="2041"/>
          </w:tcPr>
          <w:p>
            <w:pPr>
              <w:spacing w:before="0" w:after="0"/>
              <w:jc w:val="left"/>
            </w:pPr>
            <w:r>
              <w:rPr>
                <w:rFonts w:ascii="Arial" w:hAnsi="Arial"/>
                <w:b w:val="0"/>
                <w:sz w:val="22"/>
              </w:rPr>
              <w:t>Year</w:t>
            </w:r>
          </w:p>
        </w:tc>
        <w:tc>
          <w:tcPr>
            <w:tcW w:type="dxa" w:w="2041"/>
          </w:tcPr>
          <w:p>
            <w:pPr>
              <w:spacing w:before="0" w:after="0"/>
              <w:jc w:val="left"/>
            </w:pPr>
            <w:r>
              <w:rPr>
                <w:rFonts w:ascii="Arial" w:hAnsi="Arial"/>
                <w:b w:val="0"/>
                <w:sz w:val="22"/>
              </w:rPr>
              <w:t>Client / Project</w:t>
            </w:r>
          </w:p>
        </w:tc>
        <w:tc>
          <w:tcPr>
            <w:tcW w:type="dxa" w:w="2041"/>
          </w:tcPr>
          <w:p>
            <w:pPr>
              <w:spacing w:before="0" w:after="0"/>
              <w:jc w:val="left"/>
            </w:pPr>
            <w:r>
              <w:rPr>
                <w:rFonts w:ascii="Arial" w:hAnsi="Arial"/>
                <w:b w:val="0"/>
                <w:sz w:val="22"/>
              </w:rPr>
              <w:t>Vendor / Facility</w:t>
            </w:r>
          </w:p>
        </w:tc>
        <w:tc>
          <w:tcPr>
            <w:tcW w:type="dxa" w:w="2041"/>
          </w:tcPr>
          <w:p>
            <w:pPr>
              <w:spacing w:before="0" w:after="0"/>
              <w:jc w:val="left"/>
            </w:pPr>
            <w:r>
              <w:rPr>
                <w:rFonts w:ascii="Arial" w:hAnsi="Arial"/>
                <w:b w:val="0"/>
                <w:sz w:val="22"/>
              </w:rPr>
              <w:t>Equipment / Commodity</w:t>
            </w:r>
          </w:p>
        </w:tc>
        <w:tc>
          <w:tcPr>
            <w:tcW w:type="dxa" w:w="2041"/>
          </w:tcPr>
          <w:p>
            <w:pPr>
              <w:spacing w:before="0" w:after="0"/>
              <w:jc w:val="left"/>
            </w:pPr>
            <w:r>
              <w:rPr>
                <w:rFonts w:ascii="Arial" w:hAnsi="Arial"/>
                <w:b w:val="0"/>
                <w:sz w:val="22"/>
              </w:rPr>
              <w:t>Representative Scope</w:t>
            </w:r>
          </w:p>
        </w:tc>
      </w:tr>
      <w:tr>
        <w:tc>
          <w:tcPr>
            <w:tcW w:type="dxa" w:w="2041"/>
          </w:tcPr>
          <w:p>
            <w:pPr>
              <w:spacing w:before="0" w:after="0"/>
              <w:jc w:val="left"/>
            </w:pPr>
            <w:r>
              <w:rPr>
                <w:rFonts w:ascii="Arial" w:hAnsi="Arial"/>
                <w:b w:val="0"/>
                <w:sz w:val="22"/>
              </w:rPr>
              <w:t>2013-15</w:t>
            </w:r>
          </w:p>
        </w:tc>
        <w:tc>
          <w:tcPr>
            <w:tcW w:type="dxa" w:w="2041"/>
          </w:tcPr>
          <w:p>
            <w:pPr>
              <w:spacing w:before="0" w:after="0"/>
              <w:jc w:val="left"/>
            </w:pPr>
            <w:r>
              <w:rPr>
                <w:rFonts w:ascii="Arial" w:hAnsi="Arial"/>
                <w:b w:val="0"/>
                <w:sz w:val="22"/>
              </w:rPr>
              <w:t>Various Oil &amp; Gas clients</w:t>
            </w:r>
          </w:p>
        </w:tc>
        <w:tc>
          <w:tcPr>
            <w:tcW w:type="dxa" w:w="2041"/>
          </w:tcPr>
          <w:p>
            <w:pPr>
              <w:spacing w:before="0" w:after="0"/>
              <w:jc w:val="left"/>
            </w:pPr>
            <w:r>
              <w:rPr>
                <w:rFonts w:ascii="Arial" w:hAnsi="Arial"/>
                <w:b w:val="0"/>
                <w:sz w:val="22"/>
              </w:rPr>
              <w:t>Halliburton</w:t>
            </w:r>
          </w:p>
        </w:tc>
        <w:tc>
          <w:tcPr>
            <w:tcW w:type="dxa" w:w="2041"/>
          </w:tcPr>
          <w:p>
            <w:pPr>
              <w:spacing w:before="0" w:after="0"/>
              <w:jc w:val="left"/>
            </w:pPr>
            <w:r>
              <w:rPr>
                <w:rFonts w:ascii="Arial" w:hAnsi="Arial"/>
                <w:b w:val="0"/>
                <w:sz w:val="22"/>
              </w:rPr>
              <w:t>Baskets, containers, tanks, gas racks / oilfield equipment</w:t>
            </w:r>
          </w:p>
        </w:tc>
        <w:tc>
          <w:tcPr>
            <w:tcW w:type="dxa" w:w="2041"/>
          </w:tcPr>
          <w:p>
            <w:pPr>
              <w:spacing w:before="0" w:after="0"/>
              <w:jc w:val="left"/>
            </w:pPr>
            <w:r>
              <w:rPr>
                <w:rFonts w:ascii="Arial" w:hAnsi="Arial"/>
                <w:b w:val="0"/>
                <w:sz w:val="22"/>
              </w:rPr>
              <w:t>Repeated final inspections, cargo summary checks, certification review and inspection release.</w:t>
            </w:r>
          </w:p>
        </w:tc>
      </w:tr>
      <w:tr>
        <w:tc>
          <w:tcPr>
            <w:tcW w:type="dxa" w:w="2041"/>
          </w:tcPr>
          <w:p>
            <w:pPr>
              <w:spacing w:before="0" w:after="0"/>
              <w:jc w:val="left"/>
            </w:pPr>
            <w:r>
              <w:rPr>
                <w:rFonts w:ascii="Arial" w:hAnsi="Arial"/>
                <w:b w:val="0"/>
                <w:sz w:val="22"/>
              </w:rPr>
              <w:t>2013</w:t>
            </w:r>
          </w:p>
        </w:tc>
        <w:tc>
          <w:tcPr>
            <w:tcW w:type="dxa" w:w="2041"/>
          </w:tcPr>
          <w:p>
            <w:pPr>
              <w:spacing w:before="0" w:after="0"/>
              <w:jc w:val="left"/>
            </w:pPr>
            <w:r>
              <w:rPr>
                <w:rFonts w:ascii="Arial" w:hAnsi="Arial"/>
                <w:b w:val="0"/>
                <w:sz w:val="22"/>
              </w:rPr>
              <w:t>Various</w:t>
            </w:r>
          </w:p>
        </w:tc>
        <w:tc>
          <w:tcPr>
            <w:tcW w:type="dxa" w:w="2041"/>
          </w:tcPr>
          <w:p>
            <w:pPr>
              <w:spacing w:before="0" w:after="0"/>
              <w:jc w:val="left"/>
            </w:pPr>
            <w:r>
              <w:rPr>
                <w:rFonts w:ascii="Arial" w:hAnsi="Arial"/>
                <w:b w:val="0"/>
                <w:sz w:val="22"/>
              </w:rPr>
              <w:t>Schlumberger, Great Yarmouth</w:t>
            </w:r>
          </w:p>
        </w:tc>
        <w:tc>
          <w:tcPr>
            <w:tcW w:type="dxa" w:w="2041"/>
          </w:tcPr>
          <w:p>
            <w:pPr>
              <w:spacing w:before="0" w:after="0"/>
              <w:jc w:val="left"/>
            </w:pPr>
            <w:r>
              <w:rPr>
                <w:rFonts w:ascii="Arial" w:hAnsi="Arial"/>
                <w:b w:val="0"/>
                <w:sz w:val="22"/>
              </w:rPr>
              <w:t>Wireline valves / slickline equipment</w:t>
            </w:r>
          </w:p>
        </w:tc>
        <w:tc>
          <w:tcPr>
            <w:tcW w:type="dxa" w:w="2041"/>
          </w:tcPr>
          <w:p>
            <w:pPr>
              <w:spacing w:before="0" w:after="0"/>
              <w:jc w:val="left"/>
            </w:pPr>
            <w:r>
              <w:rPr>
                <w:rFonts w:ascii="Arial" w:hAnsi="Arial"/>
                <w:b w:val="0"/>
                <w:sz w:val="22"/>
              </w:rPr>
              <w:t>Witnessed wireline valve pressure and functional testing; inspection reporting and release.</w:t>
            </w:r>
          </w:p>
        </w:tc>
      </w:tr>
      <w:tr>
        <w:tc>
          <w:tcPr>
            <w:tcW w:type="dxa" w:w="2041"/>
          </w:tcPr>
          <w:p>
            <w:pPr>
              <w:spacing w:before="0" w:after="0"/>
              <w:jc w:val="left"/>
            </w:pPr>
            <w:r>
              <w:rPr>
                <w:rFonts w:ascii="Arial" w:hAnsi="Arial"/>
                <w:b w:val="0"/>
                <w:sz w:val="22"/>
              </w:rPr>
              <w:t>2014-15</w:t>
            </w:r>
          </w:p>
        </w:tc>
        <w:tc>
          <w:tcPr>
            <w:tcW w:type="dxa" w:w="2041"/>
          </w:tcPr>
          <w:p>
            <w:pPr>
              <w:spacing w:before="0" w:after="0"/>
              <w:jc w:val="left"/>
            </w:pPr>
            <w:r>
              <w:rPr>
                <w:rFonts w:ascii="Arial" w:hAnsi="Arial"/>
                <w:b w:val="0"/>
                <w:sz w:val="22"/>
              </w:rPr>
              <w:t>Various</w:t>
            </w:r>
          </w:p>
        </w:tc>
        <w:tc>
          <w:tcPr>
            <w:tcW w:type="dxa" w:w="2041"/>
          </w:tcPr>
          <w:p>
            <w:pPr>
              <w:spacing w:before="0" w:after="0"/>
              <w:jc w:val="left"/>
            </w:pPr>
            <w:r>
              <w:rPr>
                <w:rFonts w:ascii="Arial" w:hAnsi="Arial"/>
                <w:b w:val="0"/>
                <w:sz w:val="22"/>
              </w:rPr>
              <w:t>NOV</w:t>
            </w:r>
          </w:p>
        </w:tc>
        <w:tc>
          <w:tcPr>
            <w:tcW w:type="dxa" w:w="2041"/>
          </w:tcPr>
          <w:p>
            <w:pPr>
              <w:spacing w:before="0" w:after="0"/>
              <w:jc w:val="left"/>
            </w:pPr>
            <w:r>
              <w:rPr>
                <w:rFonts w:ascii="Arial" w:hAnsi="Arial"/>
                <w:b w:val="0"/>
                <w:sz w:val="22"/>
              </w:rPr>
              <w:t>Drilling / oilfield and cargo equipment</w:t>
            </w:r>
          </w:p>
        </w:tc>
        <w:tc>
          <w:tcPr>
            <w:tcW w:type="dxa" w:w="2041"/>
          </w:tcPr>
          <w:p>
            <w:pPr>
              <w:spacing w:before="0" w:after="0"/>
              <w:jc w:val="left"/>
            </w:pPr>
            <w:r>
              <w:rPr>
                <w:rFonts w:ascii="Arial" w:hAnsi="Arial"/>
                <w:b w:val="0"/>
                <w:sz w:val="22"/>
              </w:rPr>
              <w:t>Repeated vendor inspections, cargo/checklist verification, certification review and inspection release.</w:t>
            </w:r>
          </w:p>
        </w:tc>
      </w:tr>
      <w:tr>
        <w:tc>
          <w:tcPr>
            <w:tcW w:type="dxa" w:w="2041"/>
          </w:tcPr>
          <w:p>
            <w:pPr>
              <w:spacing w:before="0" w:after="0"/>
              <w:jc w:val="left"/>
            </w:pPr>
            <w:r>
              <w:rPr>
                <w:rFonts w:ascii="Arial" w:hAnsi="Arial"/>
                <w:b w:val="0"/>
                <w:sz w:val="22"/>
              </w:rPr>
              <w:t>2013-15</w:t>
            </w:r>
          </w:p>
        </w:tc>
        <w:tc>
          <w:tcPr>
            <w:tcW w:type="dxa" w:w="2041"/>
          </w:tcPr>
          <w:p>
            <w:pPr>
              <w:spacing w:before="0" w:after="0"/>
              <w:jc w:val="left"/>
            </w:pPr>
            <w:r>
              <w:rPr>
                <w:rFonts w:ascii="Arial" w:hAnsi="Arial"/>
                <w:b w:val="0"/>
                <w:sz w:val="22"/>
              </w:rPr>
              <w:t>Centrica / various</w:t>
            </w:r>
          </w:p>
        </w:tc>
        <w:tc>
          <w:tcPr>
            <w:tcW w:type="dxa" w:w="2041"/>
          </w:tcPr>
          <w:p>
            <w:pPr>
              <w:spacing w:before="0" w:after="0"/>
              <w:jc w:val="left"/>
            </w:pPr>
            <w:r>
              <w:rPr>
                <w:rFonts w:ascii="Arial" w:hAnsi="Arial"/>
                <w:b w:val="0"/>
                <w:sz w:val="22"/>
              </w:rPr>
              <w:t>ASCO</w:t>
            </w:r>
          </w:p>
        </w:tc>
        <w:tc>
          <w:tcPr>
            <w:tcW w:type="dxa" w:w="2041"/>
          </w:tcPr>
          <w:p>
            <w:pPr>
              <w:spacing w:before="0" w:after="0"/>
              <w:jc w:val="left"/>
            </w:pPr>
            <w:r>
              <w:rPr>
                <w:rFonts w:ascii="Arial" w:hAnsi="Arial"/>
                <w:b w:val="0"/>
                <w:sz w:val="22"/>
              </w:rPr>
              <w:t>Lifting, transport and offshore cargo equipment</w:t>
            </w:r>
          </w:p>
        </w:tc>
        <w:tc>
          <w:tcPr>
            <w:tcW w:type="dxa" w:w="2041"/>
          </w:tcPr>
          <w:p>
            <w:pPr>
              <w:spacing w:before="0" w:after="0"/>
              <w:jc w:val="left"/>
            </w:pPr>
            <w:r>
              <w:rPr>
                <w:rFonts w:ascii="Arial" w:hAnsi="Arial"/>
                <w:b w:val="0"/>
                <w:sz w:val="22"/>
              </w:rPr>
              <w:t>Inspection, manifest/certification checks, cargo summary verification and release.</w:t>
            </w:r>
          </w:p>
        </w:tc>
      </w:tr>
      <w:tr>
        <w:tc>
          <w:tcPr>
            <w:tcW w:type="dxa" w:w="2041"/>
          </w:tcPr>
          <w:p>
            <w:pPr>
              <w:spacing w:before="0" w:after="0"/>
              <w:jc w:val="left"/>
            </w:pPr>
            <w:r>
              <w:rPr>
                <w:rFonts w:ascii="Arial" w:hAnsi="Arial"/>
                <w:b w:val="0"/>
                <w:sz w:val="22"/>
              </w:rPr>
              <w:t>2013-15</w:t>
            </w:r>
          </w:p>
        </w:tc>
        <w:tc>
          <w:tcPr>
            <w:tcW w:type="dxa" w:w="2041"/>
          </w:tcPr>
          <w:p>
            <w:pPr>
              <w:spacing w:before="0" w:after="0"/>
              <w:jc w:val="left"/>
            </w:pPr>
            <w:r>
              <w:rPr>
                <w:rFonts w:ascii="Arial" w:hAnsi="Arial"/>
                <w:b w:val="0"/>
                <w:sz w:val="22"/>
              </w:rPr>
              <w:t>Various</w:t>
            </w:r>
          </w:p>
        </w:tc>
        <w:tc>
          <w:tcPr>
            <w:tcW w:type="dxa" w:w="2041"/>
          </w:tcPr>
          <w:p>
            <w:pPr>
              <w:spacing w:before="0" w:after="0"/>
              <w:jc w:val="left"/>
            </w:pPr>
            <w:r>
              <w:rPr>
                <w:rFonts w:ascii="Arial" w:hAnsi="Arial"/>
                <w:b w:val="0"/>
                <w:sz w:val="22"/>
              </w:rPr>
              <w:t>Coates Offshore</w:t>
            </w:r>
          </w:p>
        </w:tc>
        <w:tc>
          <w:tcPr>
            <w:tcW w:type="dxa" w:w="2041"/>
          </w:tcPr>
          <w:p>
            <w:pPr>
              <w:spacing w:before="0" w:after="0"/>
              <w:jc w:val="left"/>
            </w:pPr>
            <w:r>
              <w:rPr>
                <w:rFonts w:ascii="Arial" w:hAnsi="Arial"/>
                <w:b w:val="0"/>
                <w:sz w:val="22"/>
              </w:rPr>
              <w:t>Offshore equipment, steam generator, diesel engines</w:t>
            </w:r>
          </w:p>
        </w:tc>
        <w:tc>
          <w:tcPr>
            <w:tcW w:type="dxa" w:w="2041"/>
          </w:tcPr>
          <w:p>
            <w:pPr>
              <w:spacing w:before="0" w:after="0"/>
              <w:jc w:val="left"/>
            </w:pPr>
            <w:r>
              <w:rPr>
                <w:rFonts w:ascii="Arial" w:hAnsi="Arial"/>
                <w:b w:val="0"/>
                <w:sz w:val="22"/>
              </w:rPr>
              <w:t>Final inspection, equipment-specific checklist review, certification verification and release.</w:t>
            </w:r>
          </w:p>
        </w:tc>
      </w:tr>
      <w:tr>
        <w:tc>
          <w:tcPr>
            <w:tcW w:type="dxa" w:w="2041"/>
          </w:tcPr>
          <w:p>
            <w:pPr>
              <w:spacing w:before="0" w:after="0"/>
              <w:jc w:val="left"/>
            </w:pPr>
            <w:r>
              <w:rPr>
                <w:rFonts w:ascii="Arial" w:hAnsi="Arial"/>
                <w:b w:val="0"/>
                <w:sz w:val="22"/>
              </w:rPr>
              <w:t>2015</w:t>
            </w:r>
          </w:p>
        </w:tc>
        <w:tc>
          <w:tcPr>
            <w:tcW w:type="dxa" w:w="2041"/>
          </w:tcPr>
          <w:p>
            <w:pPr>
              <w:spacing w:before="0" w:after="0"/>
              <w:jc w:val="left"/>
            </w:pPr>
            <w:r>
              <w:rPr>
                <w:rFonts w:ascii="Arial" w:hAnsi="Arial"/>
                <w:b w:val="0"/>
                <w:sz w:val="22"/>
              </w:rPr>
              <w:t>Various</w:t>
            </w:r>
          </w:p>
        </w:tc>
        <w:tc>
          <w:tcPr>
            <w:tcW w:type="dxa" w:w="2041"/>
          </w:tcPr>
          <w:p>
            <w:pPr>
              <w:spacing w:before="0" w:after="0"/>
              <w:jc w:val="left"/>
            </w:pPr>
            <w:r>
              <w:rPr>
                <w:rFonts w:ascii="Arial" w:hAnsi="Arial"/>
                <w:b w:val="0"/>
                <w:sz w:val="22"/>
              </w:rPr>
              <w:t>Certex</w:t>
            </w:r>
          </w:p>
        </w:tc>
        <w:tc>
          <w:tcPr>
            <w:tcW w:type="dxa" w:w="2041"/>
          </w:tcPr>
          <w:p>
            <w:pPr>
              <w:spacing w:before="0" w:after="0"/>
              <w:jc w:val="left"/>
            </w:pPr>
            <w:r>
              <w:rPr>
                <w:rFonts w:ascii="Arial" w:hAnsi="Arial"/>
                <w:b w:val="0"/>
                <w:sz w:val="22"/>
              </w:rPr>
              <w:t>Lifting / offshore cargo equipment</w:t>
            </w:r>
          </w:p>
        </w:tc>
        <w:tc>
          <w:tcPr>
            <w:tcW w:type="dxa" w:w="2041"/>
          </w:tcPr>
          <w:p>
            <w:pPr>
              <w:spacing w:before="0" w:after="0"/>
              <w:jc w:val="left"/>
            </w:pPr>
            <w:r>
              <w:rPr>
                <w:rFonts w:ascii="Arial" w:hAnsi="Arial"/>
                <w:b w:val="0"/>
                <w:sz w:val="22"/>
              </w:rPr>
              <w:t>Inspection, cargo checklist and certification review, final release.</w:t>
            </w:r>
          </w:p>
        </w:tc>
      </w:tr>
      <w:tr>
        <w:tc>
          <w:tcPr>
            <w:tcW w:type="dxa" w:w="2041"/>
          </w:tcPr>
          <w:p>
            <w:pPr>
              <w:spacing w:before="0" w:after="0"/>
              <w:jc w:val="left"/>
            </w:pPr>
            <w:r>
              <w:rPr>
                <w:rFonts w:ascii="Arial" w:hAnsi="Arial"/>
                <w:b w:val="0"/>
                <w:sz w:val="22"/>
              </w:rPr>
              <w:t>2015</w:t>
            </w:r>
          </w:p>
        </w:tc>
        <w:tc>
          <w:tcPr>
            <w:tcW w:type="dxa" w:w="2041"/>
          </w:tcPr>
          <w:p>
            <w:pPr>
              <w:spacing w:before="0" w:after="0"/>
              <w:jc w:val="left"/>
            </w:pPr>
            <w:r>
              <w:rPr>
                <w:rFonts w:ascii="Arial" w:hAnsi="Arial"/>
                <w:b w:val="0"/>
                <w:sz w:val="22"/>
              </w:rPr>
              <w:t>Various</w:t>
            </w:r>
          </w:p>
        </w:tc>
        <w:tc>
          <w:tcPr>
            <w:tcW w:type="dxa" w:w="2041"/>
          </w:tcPr>
          <w:p>
            <w:pPr>
              <w:spacing w:before="0" w:after="0"/>
              <w:jc w:val="left"/>
            </w:pPr>
            <w:r>
              <w:rPr>
                <w:rFonts w:ascii="Arial" w:hAnsi="Arial"/>
                <w:b w:val="0"/>
                <w:sz w:val="22"/>
              </w:rPr>
              <w:t>Steel Services</w:t>
            </w:r>
          </w:p>
        </w:tc>
        <w:tc>
          <w:tcPr>
            <w:tcW w:type="dxa" w:w="2041"/>
          </w:tcPr>
          <w:p>
            <w:pPr>
              <w:spacing w:before="0" w:after="0"/>
              <w:jc w:val="left"/>
            </w:pPr>
            <w:r>
              <w:rPr>
                <w:rFonts w:ascii="Arial" w:hAnsi="Arial"/>
                <w:b w:val="0"/>
                <w:sz w:val="22"/>
              </w:rPr>
              <w:t>Structural / fabricated and lifting equipment</w:t>
            </w:r>
          </w:p>
        </w:tc>
        <w:tc>
          <w:tcPr>
            <w:tcW w:type="dxa" w:w="2041"/>
          </w:tcPr>
          <w:p>
            <w:pPr>
              <w:spacing w:before="0" w:after="0"/>
              <w:jc w:val="left"/>
            </w:pPr>
            <w:r>
              <w:rPr>
                <w:rFonts w:ascii="Arial" w:hAnsi="Arial"/>
                <w:b w:val="0"/>
                <w:sz w:val="22"/>
              </w:rPr>
              <w:t>Inspection, NDE and lifting certification review, cargo verification and release.</w:t>
            </w:r>
          </w:p>
        </w:tc>
      </w:tr>
      <w:tr>
        <w:tc>
          <w:tcPr>
            <w:tcW w:type="dxa" w:w="2041"/>
          </w:tcPr>
          <w:p>
            <w:pPr>
              <w:spacing w:before="0" w:after="0"/>
              <w:jc w:val="left"/>
            </w:pPr>
            <w:r>
              <w:rPr>
                <w:rFonts w:ascii="Arial" w:hAnsi="Arial"/>
                <w:b w:val="0"/>
                <w:sz w:val="22"/>
              </w:rPr>
              <w:t>2011-15</w:t>
            </w:r>
          </w:p>
        </w:tc>
        <w:tc>
          <w:tcPr>
            <w:tcW w:type="dxa" w:w="2041"/>
          </w:tcPr>
          <w:p>
            <w:pPr>
              <w:spacing w:before="0" w:after="0"/>
              <w:jc w:val="left"/>
            </w:pPr>
            <w:r>
              <w:rPr>
                <w:rFonts w:ascii="Arial" w:hAnsi="Arial"/>
                <w:b w:val="0"/>
                <w:sz w:val="22"/>
              </w:rPr>
              <w:t>Various</w:t>
            </w:r>
          </w:p>
        </w:tc>
        <w:tc>
          <w:tcPr>
            <w:tcW w:type="dxa" w:w="2041"/>
          </w:tcPr>
          <w:p>
            <w:pPr>
              <w:spacing w:before="0" w:after="0"/>
              <w:jc w:val="left"/>
            </w:pPr>
            <w:r>
              <w:rPr>
                <w:rFonts w:ascii="Arial" w:hAnsi="Arial"/>
                <w:b w:val="0"/>
                <w:sz w:val="22"/>
              </w:rPr>
              <w:t>Weatherford</w:t>
            </w:r>
          </w:p>
        </w:tc>
        <w:tc>
          <w:tcPr>
            <w:tcW w:type="dxa" w:w="2041"/>
          </w:tcPr>
          <w:p>
            <w:pPr>
              <w:spacing w:before="0" w:after="0"/>
              <w:jc w:val="left"/>
            </w:pPr>
            <w:r>
              <w:rPr>
                <w:rFonts w:ascii="Arial" w:hAnsi="Arial"/>
                <w:b w:val="0"/>
                <w:sz w:val="22"/>
              </w:rPr>
              <w:t>Subsea / oilfield equipment</w:t>
            </w:r>
          </w:p>
        </w:tc>
        <w:tc>
          <w:tcPr>
            <w:tcW w:type="dxa" w:w="2041"/>
          </w:tcPr>
          <w:p>
            <w:pPr>
              <w:spacing w:before="0" w:after="0"/>
              <w:jc w:val="left"/>
            </w:pPr>
            <w:r>
              <w:rPr>
                <w:rFonts w:ascii="Arial" w:hAnsi="Arial"/>
                <w:b w:val="0"/>
                <w:sz w:val="22"/>
              </w:rPr>
              <w:t>Vendor inspection, certification and cargo checks, final release across repeated assignments.</w:t>
            </w:r>
          </w:p>
        </w:tc>
      </w:tr>
      <w:tr>
        <w:tc>
          <w:tcPr>
            <w:tcW w:type="dxa" w:w="2041"/>
          </w:tcPr>
          <w:p>
            <w:pPr>
              <w:spacing w:before="0" w:after="0"/>
              <w:jc w:val="left"/>
            </w:pPr>
            <w:r>
              <w:rPr>
                <w:rFonts w:ascii="Arial" w:hAnsi="Arial"/>
                <w:b w:val="0"/>
                <w:sz w:val="22"/>
              </w:rPr>
              <w:t>2011-15</w:t>
            </w:r>
          </w:p>
        </w:tc>
        <w:tc>
          <w:tcPr>
            <w:tcW w:type="dxa" w:w="2041"/>
          </w:tcPr>
          <w:p>
            <w:pPr>
              <w:spacing w:before="0" w:after="0"/>
              <w:jc w:val="left"/>
            </w:pPr>
            <w:r>
              <w:rPr>
                <w:rFonts w:ascii="Arial" w:hAnsi="Arial"/>
                <w:b w:val="0"/>
                <w:sz w:val="22"/>
              </w:rPr>
              <w:t>Various</w:t>
            </w:r>
          </w:p>
        </w:tc>
        <w:tc>
          <w:tcPr>
            <w:tcW w:type="dxa" w:w="2041"/>
          </w:tcPr>
          <w:p>
            <w:pPr>
              <w:spacing w:before="0" w:after="0"/>
              <w:jc w:val="left"/>
            </w:pPr>
            <w:r>
              <w:rPr>
                <w:rFonts w:ascii="Arial" w:hAnsi="Arial"/>
                <w:b w:val="0"/>
                <w:sz w:val="22"/>
              </w:rPr>
              <w:t>Baker Hughes, Great Yarmouth</w:t>
            </w:r>
          </w:p>
        </w:tc>
        <w:tc>
          <w:tcPr>
            <w:tcW w:type="dxa" w:w="2041"/>
          </w:tcPr>
          <w:p>
            <w:pPr>
              <w:spacing w:before="0" w:after="0"/>
              <w:jc w:val="left"/>
            </w:pPr>
            <w:r>
              <w:rPr>
                <w:rFonts w:ascii="Arial" w:hAnsi="Arial"/>
                <w:b w:val="0"/>
                <w:sz w:val="22"/>
              </w:rPr>
              <w:t>Subsea / oilfield service equipment</w:t>
            </w:r>
          </w:p>
        </w:tc>
        <w:tc>
          <w:tcPr>
            <w:tcW w:type="dxa" w:w="2041"/>
          </w:tcPr>
          <w:p>
            <w:pPr>
              <w:spacing w:before="0" w:after="0"/>
              <w:jc w:val="left"/>
            </w:pPr>
            <w:r>
              <w:rPr>
                <w:rFonts w:ascii="Arial" w:hAnsi="Arial"/>
                <w:b w:val="0"/>
                <w:sz w:val="22"/>
              </w:rPr>
              <w:t>QA/QC inspection, testing/documentation review and release activities.</w:t>
            </w:r>
          </w:p>
        </w:tc>
      </w:tr>
      <w:tr>
        <w:tc>
          <w:tcPr>
            <w:tcW w:type="dxa" w:w="2041"/>
          </w:tcPr>
          <w:p>
            <w:pPr>
              <w:spacing w:before="0" w:after="0"/>
              <w:jc w:val="left"/>
            </w:pPr>
            <w:r>
              <w:rPr>
                <w:rFonts w:ascii="Arial" w:hAnsi="Arial"/>
                <w:b w:val="0"/>
                <w:sz w:val="22"/>
              </w:rPr>
              <w:t>2011-15</w:t>
            </w:r>
          </w:p>
        </w:tc>
        <w:tc>
          <w:tcPr>
            <w:tcW w:type="dxa" w:w="2041"/>
          </w:tcPr>
          <w:p>
            <w:pPr>
              <w:spacing w:before="0" w:after="0"/>
              <w:jc w:val="left"/>
            </w:pPr>
            <w:r>
              <w:rPr>
                <w:rFonts w:ascii="Arial" w:hAnsi="Arial"/>
                <w:b w:val="0"/>
                <w:sz w:val="22"/>
              </w:rPr>
              <w:t>Various</w:t>
            </w:r>
          </w:p>
        </w:tc>
        <w:tc>
          <w:tcPr>
            <w:tcW w:type="dxa" w:w="2041"/>
          </w:tcPr>
          <w:p>
            <w:pPr>
              <w:spacing w:before="0" w:after="0"/>
              <w:jc w:val="left"/>
            </w:pPr>
            <w:r>
              <w:rPr>
                <w:rFonts w:ascii="Arial" w:hAnsi="Arial"/>
                <w:b w:val="0"/>
                <w:sz w:val="22"/>
              </w:rPr>
              <w:t>Claxton, Great Yarmouth</w:t>
            </w:r>
          </w:p>
        </w:tc>
        <w:tc>
          <w:tcPr>
            <w:tcW w:type="dxa" w:w="2041"/>
          </w:tcPr>
          <w:p>
            <w:pPr>
              <w:spacing w:before="0" w:after="0"/>
              <w:jc w:val="left"/>
            </w:pPr>
            <w:r>
              <w:rPr>
                <w:rFonts w:ascii="Arial" w:hAnsi="Arial"/>
                <w:b w:val="0"/>
                <w:sz w:val="22"/>
              </w:rPr>
              <w:t>Subsea drilling, riser and intervention equipment</w:t>
            </w:r>
          </w:p>
        </w:tc>
        <w:tc>
          <w:tcPr>
            <w:tcW w:type="dxa" w:w="2041"/>
          </w:tcPr>
          <w:p>
            <w:pPr>
              <w:spacing w:before="0" w:after="0"/>
              <w:jc w:val="left"/>
            </w:pPr>
            <w:r>
              <w:rPr>
                <w:rFonts w:ascii="Arial" w:hAnsi="Arial"/>
                <w:b w:val="0"/>
                <w:sz w:val="22"/>
              </w:rPr>
              <w:t>Vendor surveillance, inspection/test witnessing, certification review and release.</w:t>
            </w:r>
          </w:p>
        </w:tc>
      </w:tr>
      <w:tr>
        <w:tc>
          <w:tcPr>
            <w:tcW w:type="dxa" w:w="2041"/>
          </w:tcPr>
          <w:p>
            <w:pPr>
              <w:spacing w:before="0" w:after="0"/>
              <w:jc w:val="left"/>
            </w:pPr>
            <w:r>
              <w:rPr>
                <w:rFonts w:ascii="Arial" w:hAnsi="Arial"/>
                <w:b w:val="0"/>
                <w:sz w:val="22"/>
              </w:rPr>
              <w:t>2011-15</w:t>
            </w:r>
          </w:p>
        </w:tc>
        <w:tc>
          <w:tcPr>
            <w:tcW w:type="dxa" w:w="2041"/>
          </w:tcPr>
          <w:p>
            <w:pPr>
              <w:spacing w:before="0" w:after="0"/>
              <w:jc w:val="left"/>
            </w:pPr>
            <w:r>
              <w:rPr>
                <w:rFonts w:ascii="Arial" w:hAnsi="Arial"/>
                <w:b w:val="0"/>
                <w:sz w:val="22"/>
              </w:rPr>
              <w:t>Various</w:t>
            </w:r>
          </w:p>
        </w:tc>
        <w:tc>
          <w:tcPr>
            <w:tcW w:type="dxa" w:w="2041"/>
          </w:tcPr>
          <w:p>
            <w:pPr>
              <w:spacing w:before="0" w:after="0"/>
              <w:jc w:val="left"/>
            </w:pPr>
            <w:r>
              <w:rPr>
                <w:rFonts w:ascii="Arial" w:hAnsi="Arial"/>
                <w:b w:val="0"/>
                <w:sz w:val="22"/>
              </w:rPr>
              <w:t>Aquaterra Energy</w:t>
            </w:r>
          </w:p>
        </w:tc>
        <w:tc>
          <w:tcPr>
            <w:tcW w:type="dxa" w:w="2041"/>
          </w:tcPr>
          <w:p>
            <w:pPr>
              <w:spacing w:before="0" w:after="0"/>
              <w:jc w:val="left"/>
            </w:pPr>
            <w:r>
              <w:rPr>
                <w:rFonts w:ascii="Arial" w:hAnsi="Arial"/>
                <w:b w:val="0"/>
                <w:sz w:val="22"/>
              </w:rPr>
              <w:t>Riser / offshore and subsea equipment</w:t>
            </w:r>
          </w:p>
        </w:tc>
        <w:tc>
          <w:tcPr>
            <w:tcW w:type="dxa" w:w="2041"/>
          </w:tcPr>
          <w:p>
            <w:pPr>
              <w:spacing w:before="0" w:after="0"/>
              <w:jc w:val="left"/>
            </w:pPr>
            <w:r>
              <w:rPr>
                <w:rFonts w:ascii="Arial" w:hAnsi="Arial"/>
                <w:b w:val="0"/>
                <w:sz w:val="22"/>
              </w:rPr>
              <w:t>Mechanical inspection, documentation/certification review and release.</w:t>
            </w:r>
          </w:p>
        </w:tc>
      </w:tr>
      <w:tr>
        <w:tc>
          <w:tcPr>
            <w:tcW w:type="dxa" w:w="2041"/>
          </w:tcPr>
          <w:p>
            <w:pPr>
              <w:spacing w:before="0" w:after="0"/>
              <w:jc w:val="left"/>
            </w:pPr>
            <w:r>
              <w:rPr>
                <w:rFonts w:ascii="Arial" w:hAnsi="Arial"/>
                <w:b w:val="0"/>
                <w:sz w:val="22"/>
              </w:rPr>
              <w:t>2011-15</w:t>
            </w:r>
          </w:p>
        </w:tc>
        <w:tc>
          <w:tcPr>
            <w:tcW w:type="dxa" w:w="2041"/>
          </w:tcPr>
          <w:p>
            <w:pPr>
              <w:spacing w:before="0" w:after="0"/>
              <w:jc w:val="left"/>
            </w:pPr>
            <w:r>
              <w:rPr>
                <w:rFonts w:ascii="Arial" w:hAnsi="Arial"/>
                <w:b w:val="0"/>
                <w:sz w:val="22"/>
              </w:rPr>
              <w:t>Various</w:t>
            </w:r>
          </w:p>
        </w:tc>
        <w:tc>
          <w:tcPr>
            <w:tcW w:type="dxa" w:w="2041"/>
          </w:tcPr>
          <w:p>
            <w:pPr>
              <w:spacing w:before="0" w:after="0"/>
              <w:jc w:val="left"/>
            </w:pPr>
            <w:r>
              <w:rPr>
                <w:rFonts w:ascii="Arial" w:hAnsi="Arial"/>
                <w:b w:val="0"/>
                <w:sz w:val="22"/>
              </w:rPr>
              <w:t>CAP Fabrications</w:t>
            </w:r>
          </w:p>
        </w:tc>
        <w:tc>
          <w:tcPr>
            <w:tcW w:type="dxa" w:w="2041"/>
          </w:tcPr>
          <w:p>
            <w:pPr>
              <w:spacing w:before="0" w:after="0"/>
              <w:jc w:val="left"/>
            </w:pPr>
            <w:r>
              <w:rPr>
                <w:rFonts w:ascii="Arial" w:hAnsi="Arial"/>
                <w:b w:val="0"/>
                <w:sz w:val="22"/>
              </w:rPr>
              <w:t>Fabricated structures / offshore equipment</w:t>
            </w:r>
          </w:p>
        </w:tc>
        <w:tc>
          <w:tcPr>
            <w:tcW w:type="dxa" w:w="2041"/>
          </w:tcPr>
          <w:p>
            <w:pPr>
              <w:spacing w:before="0" w:after="0"/>
              <w:jc w:val="left"/>
            </w:pPr>
            <w:r>
              <w:rPr>
                <w:rFonts w:ascii="Arial" w:hAnsi="Arial"/>
                <w:b w:val="0"/>
                <w:sz w:val="22"/>
              </w:rPr>
              <w:t>Fabrication inspection, dimensional/final checks and load-test related inspection.</w:t>
            </w:r>
          </w:p>
        </w:tc>
      </w:tr>
      <w:tr>
        <w:tc>
          <w:tcPr>
            <w:tcW w:type="dxa" w:w="2041"/>
          </w:tcPr>
          <w:p>
            <w:pPr>
              <w:spacing w:before="0" w:after="0"/>
              <w:jc w:val="left"/>
            </w:pPr>
            <w:r>
              <w:rPr>
                <w:rFonts w:ascii="Arial" w:hAnsi="Arial"/>
                <w:b w:val="0"/>
                <w:sz w:val="22"/>
              </w:rPr>
              <w:t>2011-15</w:t>
            </w:r>
          </w:p>
        </w:tc>
        <w:tc>
          <w:tcPr>
            <w:tcW w:type="dxa" w:w="2041"/>
          </w:tcPr>
          <w:p>
            <w:pPr>
              <w:spacing w:before="0" w:after="0"/>
              <w:jc w:val="left"/>
            </w:pPr>
            <w:r>
              <w:rPr>
                <w:rFonts w:ascii="Arial" w:hAnsi="Arial"/>
                <w:b w:val="0"/>
                <w:sz w:val="22"/>
              </w:rPr>
              <w:t>Various</w:t>
            </w:r>
          </w:p>
        </w:tc>
        <w:tc>
          <w:tcPr>
            <w:tcW w:type="dxa" w:w="2041"/>
          </w:tcPr>
          <w:p>
            <w:pPr>
              <w:spacing w:before="0" w:after="0"/>
              <w:jc w:val="left"/>
            </w:pPr>
            <w:r>
              <w:rPr>
                <w:rFonts w:ascii="Arial" w:hAnsi="Arial"/>
                <w:b w:val="0"/>
                <w:sz w:val="22"/>
              </w:rPr>
              <w:t>Simmons Edeco</w:t>
            </w:r>
          </w:p>
        </w:tc>
        <w:tc>
          <w:tcPr>
            <w:tcW w:type="dxa" w:w="2041"/>
          </w:tcPr>
          <w:p>
            <w:pPr>
              <w:spacing w:before="0" w:after="0"/>
              <w:jc w:val="left"/>
            </w:pPr>
            <w:r>
              <w:rPr>
                <w:rFonts w:ascii="Arial" w:hAnsi="Arial"/>
                <w:b w:val="0"/>
                <w:sz w:val="22"/>
              </w:rPr>
              <w:t>Diesel engines / oilfield equipment</w:t>
            </w:r>
          </w:p>
        </w:tc>
        <w:tc>
          <w:tcPr>
            <w:tcW w:type="dxa" w:w="2041"/>
          </w:tcPr>
          <w:p>
            <w:pPr>
              <w:spacing w:before="0" w:after="0"/>
              <w:jc w:val="left"/>
            </w:pPr>
            <w:r>
              <w:rPr>
                <w:rFonts w:ascii="Arial" w:hAnsi="Arial"/>
                <w:b w:val="0"/>
                <w:sz w:val="22"/>
              </w:rPr>
              <w:t>Equipment inspection, functional/final checks and documentation review.</w:t>
            </w:r>
          </w:p>
        </w:tc>
      </w:tr>
      <w:tr>
        <w:tc>
          <w:tcPr>
            <w:tcW w:type="dxa" w:w="2041"/>
          </w:tcPr>
          <w:p>
            <w:pPr>
              <w:spacing w:before="0" w:after="0"/>
              <w:jc w:val="left"/>
            </w:pPr>
            <w:r>
              <w:rPr>
                <w:rFonts w:ascii="Arial" w:hAnsi="Arial"/>
                <w:b w:val="0"/>
                <w:sz w:val="22"/>
              </w:rPr>
              <w:t>2011-15</w:t>
            </w:r>
          </w:p>
        </w:tc>
        <w:tc>
          <w:tcPr>
            <w:tcW w:type="dxa" w:w="2041"/>
          </w:tcPr>
          <w:p>
            <w:pPr>
              <w:spacing w:before="0" w:after="0"/>
              <w:jc w:val="left"/>
            </w:pPr>
            <w:r>
              <w:rPr>
                <w:rFonts w:ascii="Arial" w:hAnsi="Arial"/>
                <w:b w:val="0"/>
                <w:sz w:val="22"/>
              </w:rPr>
              <w:t>Various</w:t>
            </w:r>
          </w:p>
        </w:tc>
        <w:tc>
          <w:tcPr>
            <w:tcW w:type="dxa" w:w="2041"/>
          </w:tcPr>
          <w:p>
            <w:pPr>
              <w:spacing w:before="0" w:after="0"/>
              <w:jc w:val="left"/>
            </w:pPr>
            <w:r>
              <w:rPr>
                <w:rFonts w:ascii="Arial" w:hAnsi="Arial"/>
                <w:b w:val="0"/>
                <w:sz w:val="22"/>
              </w:rPr>
              <w:t>Bilfinger Salamis / SLP</w:t>
            </w:r>
          </w:p>
        </w:tc>
        <w:tc>
          <w:tcPr>
            <w:tcW w:type="dxa" w:w="2041"/>
          </w:tcPr>
          <w:p>
            <w:pPr>
              <w:spacing w:before="0" w:after="0"/>
              <w:jc w:val="left"/>
            </w:pPr>
            <w:r>
              <w:rPr>
                <w:rFonts w:ascii="Arial" w:hAnsi="Arial"/>
                <w:b w:val="0"/>
                <w:sz w:val="22"/>
              </w:rPr>
              <w:t>Offshore structural / fabricated equipment</w:t>
            </w:r>
          </w:p>
        </w:tc>
        <w:tc>
          <w:tcPr>
            <w:tcW w:type="dxa" w:w="2041"/>
          </w:tcPr>
          <w:p>
            <w:pPr>
              <w:spacing w:before="0" w:after="0"/>
              <w:jc w:val="left"/>
            </w:pPr>
            <w:r>
              <w:rPr>
                <w:rFonts w:ascii="Arial" w:hAnsi="Arial"/>
                <w:b w:val="0"/>
                <w:sz w:val="22"/>
              </w:rPr>
              <w:t>Fabrication surveillance, QA/QC inspection and documentation review.</w:t>
            </w:r>
          </w:p>
        </w:tc>
      </w:tr>
      <w:tr>
        <w:tc>
          <w:tcPr>
            <w:tcW w:type="dxa" w:w="2041"/>
          </w:tcPr>
          <w:p>
            <w:pPr>
              <w:spacing w:before="0" w:after="0"/>
              <w:jc w:val="left"/>
            </w:pPr>
            <w:r>
              <w:rPr>
                <w:rFonts w:ascii="Arial" w:hAnsi="Arial"/>
                <w:b w:val="0"/>
                <w:sz w:val="22"/>
              </w:rPr>
              <w:t>2011-15</w:t>
            </w:r>
          </w:p>
        </w:tc>
        <w:tc>
          <w:tcPr>
            <w:tcW w:type="dxa" w:w="2041"/>
          </w:tcPr>
          <w:p>
            <w:pPr>
              <w:spacing w:before="0" w:after="0"/>
              <w:jc w:val="left"/>
            </w:pPr>
            <w:r>
              <w:rPr>
                <w:rFonts w:ascii="Arial" w:hAnsi="Arial"/>
                <w:b w:val="0"/>
                <w:sz w:val="22"/>
              </w:rPr>
              <w:t>Various</w:t>
            </w:r>
          </w:p>
        </w:tc>
        <w:tc>
          <w:tcPr>
            <w:tcW w:type="dxa" w:w="2041"/>
          </w:tcPr>
          <w:p>
            <w:pPr>
              <w:spacing w:before="0" w:after="0"/>
              <w:jc w:val="left"/>
            </w:pPr>
            <w:r>
              <w:rPr>
                <w:rFonts w:ascii="Arial" w:hAnsi="Arial"/>
                <w:b w:val="0"/>
                <w:sz w:val="22"/>
              </w:rPr>
              <w:t>Tyco / DSL / GE</w:t>
            </w:r>
          </w:p>
        </w:tc>
        <w:tc>
          <w:tcPr>
            <w:tcW w:type="dxa" w:w="2041"/>
          </w:tcPr>
          <w:p>
            <w:pPr>
              <w:spacing w:before="0" w:after="0"/>
              <w:jc w:val="left"/>
            </w:pPr>
            <w:r>
              <w:rPr>
                <w:rFonts w:ascii="Arial" w:hAnsi="Arial"/>
                <w:b w:val="0"/>
                <w:sz w:val="22"/>
              </w:rPr>
              <w:t>Electrical and control equipment</w:t>
            </w:r>
          </w:p>
        </w:tc>
        <w:tc>
          <w:tcPr>
            <w:tcW w:type="dxa" w:w="2041"/>
          </w:tcPr>
          <w:p>
            <w:pPr>
              <w:spacing w:before="0" w:after="0"/>
              <w:jc w:val="left"/>
            </w:pPr>
            <w:r>
              <w:rPr>
                <w:rFonts w:ascii="Arial" w:hAnsi="Arial"/>
                <w:b w:val="0"/>
                <w:sz w:val="22"/>
              </w:rPr>
              <w:t>Electrical/mechanical inspection, functional verification, documentation review and final release.</w:t>
            </w:r>
          </w:p>
        </w:tc>
      </w:tr>
      <w:tr>
        <w:tc>
          <w:tcPr>
            <w:tcW w:type="dxa" w:w="2041"/>
          </w:tcPr>
          <w:p>
            <w:pPr>
              <w:spacing w:before="0" w:after="0"/>
              <w:jc w:val="left"/>
            </w:pPr>
            <w:r>
              <w:rPr>
                <w:rFonts w:ascii="Arial" w:hAnsi="Arial"/>
                <w:b w:val="0"/>
                <w:sz w:val="22"/>
              </w:rPr>
              <w:t>2011-15</w:t>
            </w:r>
          </w:p>
        </w:tc>
        <w:tc>
          <w:tcPr>
            <w:tcW w:type="dxa" w:w="2041"/>
          </w:tcPr>
          <w:p>
            <w:pPr>
              <w:spacing w:before="0" w:after="0"/>
              <w:jc w:val="left"/>
            </w:pPr>
            <w:r>
              <w:rPr>
                <w:rFonts w:ascii="Arial" w:hAnsi="Arial"/>
                <w:b w:val="0"/>
                <w:sz w:val="22"/>
              </w:rPr>
              <w:t>Various</w:t>
            </w:r>
          </w:p>
        </w:tc>
        <w:tc>
          <w:tcPr>
            <w:tcW w:type="dxa" w:w="2041"/>
          </w:tcPr>
          <w:p>
            <w:pPr>
              <w:spacing w:before="0" w:after="0"/>
              <w:jc w:val="left"/>
            </w:pPr>
            <w:r>
              <w:rPr>
                <w:rFonts w:ascii="Arial" w:hAnsi="Arial"/>
                <w:b w:val="0"/>
                <w:sz w:val="22"/>
              </w:rPr>
              <w:t>Alicat / Scantech / Probe Tools</w:t>
            </w:r>
          </w:p>
        </w:tc>
        <w:tc>
          <w:tcPr>
            <w:tcW w:type="dxa" w:w="2041"/>
          </w:tcPr>
          <w:p>
            <w:pPr>
              <w:spacing w:before="0" w:after="0"/>
              <w:jc w:val="left"/>
            </w:pPr>
            <w:r>
              <w:rPr>
                <w:rFonts w:ascii="Arial" w:hAnsi="Arial"/>
                <w:b w:val="0"/>
                <w:sz w:val="22"/>
              </w:rPr>
              <w:t>Instrumentation / measurement equipment</w:t>
            </w:r>
          </w:p>
        </w:tc>
        <w:tc>
          <w:tcPr>
            <w:tcW w:type="dxa" w:w="2041"/>
          </w:tcPr>
          <w:p>
            <w:pPr>
              <w:spacing w:before="0" w:after="0"/>
              <w:jc w:val="left"/>
            </w:pPr>
            <w:r>
              <w:rPr>
                <w:rFonts w:ascii="Arial" w:hAnsi="Arial"/>
                <w:b w:val="0"/>
                <w:sz w:val="22"/>
              </w:rPr>
              <w:t>Inspection, functional/testing verification and documentation review.</w:t>
            </w:r>
          </w:p>
        </w:tc>
      </w:tr>
      <w:tr>
        <w:tc>
          <w:tcPr>
            <w:tcW w:type="dxa" w:w="2041"/>
          </w:tcPr>
          <w:p>
            <w:pPr>
              <w:spacing w:before="0" w:after="0"/>
              <w:jc w:val="left"/>
            </w:pPr>
            <w:r>
              <w:rPr>
                <w:rFonts w:ascii="Arial" w:hAnsi="Arial"/>
                <w:b w:val="0"/>
                <w:sz w:val="22"/>
              </w:rPr>
              <w:t>Year</w:t>
            </w:r>
          </w:p>
        </w:tc>
        <w:tc>
          <w:tcPr>
            <w:tcW w:type="dxa" w:w="2041"/>
          </w:tcPr>
          <w:p>
            <w:pPr>
              <w:spacing w:before="0" w:after="0"/>
              <w:jc w:val="left"/>
            </w:pPr>
            <w:r>
              <w:rPr>
                <w:rFonts w:ascii="Arial" w:hAnsi="Arial"/>
                <w:b w:val="0"/>
                <w:sz w:val="22"/>
              </w:rPr>
              <w:t>Client / Project</w:t>
            </w:r>
          </w:p>
        </w:tc>
        <w:tc>
          <w:tcPr>
            <w:tcW w:type="dxa" w:w="2041"/>
          </w:tcPr>
          <w:p>
            <w:pPr>
              <w:spacing w:before="0" w:after="0"/>
              <w:jc w:val="left"/>
            </w:pPr>
            <w:r>
              <w:rPr>
                <w:rFonts w:ascii="Arial" w:hAnsi="Arial"/>
                <w:b w:val="0"/>
                <w:sz w:val="22"/>
              </w:rPr>
              <w:t>Vendor / Facility</w:t>
            </w:r>
          </w:p>
        </w:tc>
        <w:tc>
          <w:tcPr>
            <w:tcW w:type="dxa" w:w="2041"/>
          </w:tcPr>
          <w:p>
            <w:pPr>
              <w:spacing w:before="0" w:after="0"/>
              <w:jc w:val="left"/>
            </w:pPr>
            <w:r>
              <w:rPr>
                <w:rFonts w:ascii="Arial" w:hAnsi="Arial"/>
                <w:b w:val="0"/>
                <w:sz w:val="22"/>
              </w:rPr>
              <w:t>Equipment / Commodity</w:t>
            </w:r>
          </w:p>
        </w:tc>
        <w:tc>
          <w:tcPr>
            <w:tcW w:type="dxa" w:w="2041"/>
          </w:tcPr>
          <w:p>
            <w:pPr>
              <w:spacing w:before="0" w:after="0"/>
              <w:jc w:val="left"/>
            </w:pPr>
            <w:r>
              <w:rPr>
                <w:rFonts w:ascii="Arial" w:hAnsi="Arial"/>
                <w:b w:val="0"/>
                <w:sz w:val="22"/>
              </w:rPr>
              <w:t>Representative Scope</w:t>
            </w:r>
          </w:p>
        </w:tc>
      </w:tr>
      <w:tr>
        <w:tc>
          <w:tcPr>
            <w:tcW w:type="dxa" w:w="2041"/>
          </w:tcPr>
          <w:p>
            <w:pPr>
              <w:spacing w:before="0" w:after="0"/>
              <w:jc w:val="left"/>
            </w:pPr>
            <w:r>
              <w:rPr>
                <w:rFonts w:ascii="Arial" w:hAnsi="Arial"/>
                <w:b w:val="0"/>
                <w:sz w:val="22"/>
              </w:rPr>
              <w:t>2016</w:t>
            </w:r>
          </w:p>
        </w:tc>
        <w:tc>
          <w:tcPr>
            <w:tcW w:type="dxa" w:w="2041"/>
          </w:tcPr>
          <w:p>
            <w:pPr>
              <w:spacing w:before="0" w:after="0"/>
              <w:jc w:val="left"/>
            </w:pPr>
            <w:r>
              <w:rPr>
                <w:rFonts w:ascii="Arial" w:hAnsi="Arial"/>
                <w:b w:val="0"/>
                <w:sz w:val="22"/>
              </w:rPr>
              <w:t>BP project</w:t>
            </w:r>
          </w:p>
        </w:tc>
        <w:tc>
          <w:tcPr>
            <w:tcW w:type="dxa" w:w="2041"/>
          </w:tcPr>
          <w:p>
            <w:pPr>
              <w:spacing w:before="0" w:after="0"/>
              <w:jc w:val="left"/>
            </w:pPr>
            <w:r>
              <w:rPr>
                <w:rFonts w:ascii="Arial" w:hAnsi="Arial"/>
                <w:b w:val="0"/>
                <w:sz w:val="22"/>
              </w:rPr>
              <w:t>Hi-Tech Products, Rackheath</w:t>
            </w:r>
          </w:p>
        </w:tc>
        <w:tc>
          <w:tcPr>
            <w:tcW w:type="dxa" w:w="2041"/>
          </w:tcPr>
          <w:p>
            <w:pPr>
              <w:spacing w:before="0" w:after="0"/>
              <w:jc w:val="left"/>
            </w:pPr>
            <w:r>
              <w:rPr>
                <w:rFonts w:ascii="Arial" w:hAnsi="Arial"/>
                <w:b w:val="0"/>
                <w:sz w:val="22"/>
              </w:rPr>
              <w:t>Pipe / material products</w:t>
            </w:r>
          </w:p>
        </w:tc>
        <w:tc>
          <w:tcPr>
            <w:tcW w:type="dxa" w:w="2041"/>
          </w:tcPr>
          <w:p>
            <w:pPr>
              <w:spacing w:before="0" w:after="0"/>
              <w:jc w:val="left"/>
            </w:pPr>
            <w:r>
              <w:rPr>
                <w:rFonts w:ascii="Arial" w:hAnsi="Arial"/>
                <w:b w:val="0"/>
                <w:sz w:val="22"/>
              </w:rPr>
              <w:t>Inspection against purchasing specification; inspection reporting, identification/document review and NCR process where applicable.</w:t>
            </w:r>
          </w:p>
        </w:tc>
      </w:tr>
      <w:tr>
        <w:tc>
          <w:tcPr>
            <w:tcW w:type="dxa" w:w="2041"/>
          </w:tcPr>
          <w:p>
            <w:pPr>
              <w:spacing w:before="0" w:after="0"/>
              <w:jc w:val="left"/>
            </w:pPr>
            <w:r>
              <w:rPr>
                <w:rFonts w:ascii="Arial" w:hAnsi="Arial"/>
                <w:b w:val="0"/>
                <w:sz w:val="22"/>
              </w:rPr>
              <w:t>2017</w:t>
            </w:r>
          </w:p>
        </w:tc>
        <w:tc>
          <w:tcPr>
            <w:tcW w:type="dxa" w:w="2041"/>
          </w:tcPr>
          <w:p>
            <w:pPr>
              <w:spacing w:before="0" w:after="0"/>
              <w:jc w:val="left"/>
            </w:pPr>
            <w:r>
              <w:rPr>
                <w:rFonts w:ascii="Arial" w:hAnsi="Arial"/>
                <w:b w:val="0"/>
                <w:sz w:val="22"/>
              </w:rPr>
              <w:t>Erin Energy</w:t>
            </w:r>
          </w:p>
        </w:tc>
        <w:tc>
          <w:tcPr>
            <w:tcW w:type="dxa" w:w="2041"/>
          </w:tcPr>
          <w:p>
            <w:pPr>
              <w:spacing w:before="0" w:after="0"/>
              <w:jc w:val="left"/>
            </w:pPr>
            <w:r>
              <w:rPr>
                <w:rFonts w:ascii="Arial" w:hAnsi="Arial"/>
                <w:b w:val="0"/>
                <w:sz w:val="22"/>
              </w:rPr>
              <w:t>Tyco / ILS</w:t>
            </w:r>
          </w:p>
        </w:tc>
        <w:tc>
          <w:tcPr>
            <w:tcW w:type="dxa" w:w="2041"/>
          </w:tcPr>
          <w:p>
            <w:pPr>
              <w:spacing w:before="0" w:after="0"/>
              <w:jc w:val="left"/>
            </w:pPr>
            <w:r>
              <w:rPr>
                <w:rFonts w:ascii="Arial" w:hAnsi="Arial"/>
                <w:b w:val="0"/>
                <w:sz w:val="22"/>
              </w:rPr>
              <w:t>Offshore lifting equipment</w:t>
            </w:r>
          </w:p>
        </w:tc>
        <w:tc>
          <w:tcPr>
            <w:tcW w:type="dxa" w:w="2041"/>
          </w:tcPr>
          <w:p>
            <w:pPr>
              <w:spacing w:before="0" w:after="0"/>
              <w:jc w:val="left"/>
            </w:pPr>
            <w:r>
              <w:rPr>
                <w:rFonts w:ascii="Arial" w:hAnsi="Arial"/>
                <w:b w:val="0"/>
                <w:sz w:val="22"/>
              </w:rPr>
              <w:t>Witnessed load testing against approved procedures; load-cell/sling certification review and inspection reporting.</w:t>
            </w:r>
          </w:p>
        </w:tc>
      </w:tr>
      <w:tr>
        <w:tc>
          <w:tcPr>
            <w:tcW w:type="dxa" w:w="2041"/>
          </w:tcPr>
          <w:p>
            <w:pPr>
              <w:spacing w:before="0" w:after="0"/>
              <w:jc w:val="left"/>
            </w:pPr>
            <w:r>
              <w:rPr>
                <w:rFonts w:ascii="Arial" w:hAnsi="Arial"/>
                <w:b w:val="0"/>
                <w:sz w:val="22"/>
              </w:rPr>
              <w:t>2017</w:t>
            </w:r>
          </w:p>
        </w:tc>
        <w:tc>
          <w:tcPr>
            <w:tcW w:type="dxa" w:w="2041"/>
          </w:tcPr>
          <w:p>
            <w:pPr>
              <w:spacing w:before="0" w:after="0"/>
              <w:jc w:val="left"/>
            </w:pPr>
            <w:r>
              <w:rPr>
                <w:rFonts w:ascii="Arial" w:hAnsi="Arial"/>
                <w:b w:val="0"/>
                <w:sz w:val="22"/>
              </w:rPr>
              <w:t>Etha North</w:t>
            </w:r>
          </w:p>
        </w:tc>
        <w:tc>
          <w:tcPr>
            <w:tcW w:type="dxa" w:w="2041"/>
          </w:tcPr>
          <w:p>
            <w:pPr>
              <w:spacing w:before="0" w:after="0"/>
              <w:jc w:val="left"/>
            </w:pPr>
            <w:r>
              <w:rPr>
                <w:rFonts w:ascii="Arial" w:hAnsi="Arial"/>
                <w:b w:val="0"/>
                <w:sz w:val="22"/>
              </w:rPr>
              <w:t>SMS, Great Yarmouth</w:t>
            </w:r>
          </w:p>
        </w:tc>
        <w:tc>
          <w:tcPr>
            <w:tcW w:type="dxa" w:w="2041"/>
          </w:tcPr>
          <w:p>
            <w:pPr>
              <w:spacing w:before="0" w:after="0"/>
              <w:jc w:val="left"/>
            </w:pPr>
            <w:r>
              <w:rPr>
                <w:rFonts w:ascii="Arial" w:hAnsi="Arial"/>
                <w:b w:val="0"/>
                <w:sz w:val="22"/>
              </w:rPr>
              <w:t>HPU / packaged subsea equipment</w:t>
            </w:r>
          </w:p>
        </w:tc>
        <w:tc>
          <w:tcPr>
            <w:tcW w:type="dxa" w:w="2041"/>
          </w:tcPr>
          <w:p>
            <w:pPr>
              <w:spacing w:before="0" w:after="0"/>
              <w:jc w:val="left"/>
            </w:pPr>
            <w:r>
              <w:rPr>
                <w:rFonts w:ascii="Arial" w:hAnsi="Arial"/>
                <w:b w:val="0"/>
                <w:sz w:val="22"/>
              </w:rPr>
              <w:t>Vendor inspection and test surveillance including load/functional activities and QA documentation review.</w:t>
            </w:r>
          </w:p>
        </w:tc>
      </w:tr>
      <w:tr>
        <w:tc>
          <w:tcPr>
            <w:tcW w:type="dxa" w:w="2041"/>
          </w:tcPr>
          <w:p>
            <w:pPr>
              <w:spacing w:before="0" w:after="0"/>
              <w:jc w:val="left"/>
            </w:pPr>
            <w:r>
              <w:rPr>
                <w:rFonts w:ascii="Arial" w:hAnsi="Arial"/>
                <w:b w:val="0"/>
                <w:sz w:val="22"/>
              </w:rPr>
              <w:t>2017-18</w:t>
            </w:r>
          </w:p>
        </w:tc>
        <w:tc>
          <w:tcPr>
            <w:tcW w:type="dxa" w:w="2041"/>
          </w:tcPr>
          <w:p>
            <w:pPr>
              <w:spacing w:before="0" w:after="0"/>
              <w:jc w:val="left"/>
            </w:pPr>
            <w:r>
              <w:rPr>
                <w:rFonts w:ascii="Arial" w:hAnsi="Arial"/>
                <w:b w:val="0"/>
                <w:sz w:val="22"/>
              </w:rPr>
              <w:t>Alder</w:t>
            </w:r>
          </w:p>
        </w:tc>
        <w:tc>
          <w:tcPr>
            <w:tcW w:type="dxa" w:w="2041"/>
          </w:tcPr>
          <w:p>
            <w:pPr>
              <w:spacing w:before="0" w:after="0"/>
              <w:jc w:val="left"/>
            </w:pPr>
            <w:r>
              <w:rPr>
                <w:rFonts w:ascii="Arial" w:hAnsi="Arial"/>
                <w:b w:val="0"/>
                <w:sz w:val="22"/>
              </w:rPr>
              <w:t>Proserv / SMS</w:t>
            </w:r>
          </w:p>
        </w:tc>
        <w:tc>
          <w:tcPr>
            <w:tcW w:type="dxa" w:w="2041"/>
          </w:tcPr>
          <w:p>
            <w:pPr>
              <w:spacing w:before="0" w:after="0"/>
              <w:jc w:val="left"/>
            </w:pPr>
            <w:r>
              <w:rPr>
                <w:rFonts w:ascii="Arial" w:hAnsi="Arial"/>
                <w:b w:val="0"/>
                <w:sz w:val="22"/>
              </w:rPr>
              <w:t>Subsea control / HPU equipment</w:t>
            </w:r>
          </w:p>
        </w:tc>
        <w:tc>
          <w:tcPr>
            <w:tcW w:type="dxa" w:w="2041"/>
          </w:tcPr>
          <w:p>
            <w:pPr>
              <w:spacing w:before="0" w:after="0"/>
              <w:jc w:val="left"/>
            </w:pPr>
            <w:r>
              <w:rPr>
                <w:rFonts w:ascii="Arial" w:hAnsi="Arial"/>
                <w:b w:val="0"/>
                <w:sz w:val="22"/>
              </w:rPr>
              <w:t>FAT and test surveillance, pressure/cleanliness-related verification, documentation review and punch-list/final inspection activity.</w:t>
            </w:r>
          </w:p>
        </w:tc>
      </w:tr>
      <w:tr>
        <w:tc>
          <w:tcPr>
            <w:tcW w:type="dxa" w:w="2041"/>
          </w:tcPr>
          <w:p>
            <w:pPr>
              <w:spacing w:before="0" w:after="0"/>
              <w:jc w:val="left"/>
            </w:pPr>
            <w:r>
              <w:rPr>
                <w:rFonts w:ascii="Arial" w:hAnsi="Arial"/>
                <w:b w:val="0"/>
                <w:sz w:val="22"/>
              </w:rPr>
              <w:t>2017-18</w:t>
            </w:r>
          </w:p>
        </w:tc>
        <w:tc>
          <w:tcPr>
            <w:tcW w:type="dxa" w:w="2041"/>
          </w:tcPr>
          <w:p>
            <w:pPr>
              <w:spacing w:before="0" w:after="0"/>
              <w:jc w:val="left"/>
            </w:pPr>
            <w:r>
              <w:rPr>
                <w:rFonts w:ascii="Arial" w:hAnsi="Arial"/>
                <w:b w:val="0"/>
                <w:sz w:val="22"/>
              </w:rPr>
              <w:t>Stampede</w:t>
            </w:r>
          </w:p>
        </w:tc>
        <w:tc>
          <w:tcPr>
            <w:tcW w:type="dxa" w:w="2041"/>
          </w:tcPr>
          <w:p>
            <w:pPr>
              <w:spacing w:before="0" w:after="0"/>
              <w:jc w:val="left"/>
            </w:pPr>
            <w:r>
              <w:rPr>
                <w:rFonts w:ascii="Arial" w:hAnsi="Arial"/>
                <w:b w:val="0"/>
                <w:sz w:val="22"/>
              </w:rPr>
              <w:t>Proserv</w:t>
            </w:r>
          </w:p>
        </w:tc>
        <w:tc>
          <w:tcPr>
            <w:tcW w:type="dxa" w:w="2041"/>
          </w:tcPr>
          <w:p>
            <w:pPr>
              <w:spacing w:before="0" w:after="0"/>
              <w:jc w:val="left"/>
            </w:pPr>
            <w:r>
              <w:rPr>
                <w:rFonts w:ascii="Arial" w:hAnsi="Arial"/>
                <w:b w:val="0"/>
                <w:sz w:val="22"/>
              </w:rPr>
              <w:t>Subsea control equipment</w:t>
            </w:r>
          </w:p>
        </w:tc>
        <w:tc>
          <w:tcPr>
            <w:tcW w:type="dxa" w:w="2041"/>
          </w:tcPr>
          <w:p>
            <w:pPr>
              <w:spacing w:before="0" w:after="0"/>
              <w:jc w:val="left"/>
            </w:pPr>
            <w:r>
              <w:rPr>
                <w:rFonts w:ascii="Arial" w:hAnsi="Arial"/>
                <w:b w:val="0"/>
                <w:sz w:val="22"/>
              </w:rPr>
              <w:t>Inspection notifications, FAT/hyperbaric test surveillance, documentation review and inspection reporting.</w:t>
            </w:r>
          </w:p>
        </w:tc>
      </w:tr>
      <w:tr>
        <w:tc>
          <w:tcPr>
            <w:tcW w:type="dxa" w:w="2041"/>
          </w:tcPr>
          <w:p>
            <w:pPr>
              <w:spacing w:before="0" w:after="0"/>
              <w:jc w:val="left"/>
            </w:pPr>
            <w:r>
              <w:rPr>
                <w:rFonts w:ascii="Arial" w:hAnsi="Arial"/>
                <w:b w:val="0"/>
                <w:sz w:val="22"/>
              </w:rPr>
              <w:t>2019</w:t>
            </w:r>
          </w:p>
        </w:tc>
        <w:tc>
          <w:tcPr>
            <w:tcW w:type="dxa" w:w="2041"/>
          </w:tcPr>
          <w:p>
            <w:pPr>
              <w:spacing w:before="0" w:after="0"/>
              <w:jc w:val="left"/>
            </w:pPr>
            <w:r>
              <w:rPr>
                <w:rFonts w:ascii="Arial" w:hAnsi="Arial"/>
                <w:b w:val="0"/>
                <w:sz w:val="22"/>
              </w:rPr>
              <w:t>Caesar Tonga</w:t>
            </w:r>
          </w:p>
        </w:tc>
        <w:tc>
          <w:tcPr>
            <w:tcW w:type="dxa" w:w="2041"/>
          </w:tcPr>
          <w:p>
            <w:pPr>
              <w:spacing w:before="0" w:after="0"/>
              <w:jc w:val="left"/>
            </w:pPr>
            <w:r>
              <w:rPr>
                <w:rFonts w:ascii="Arial" w:hAnsi="Arial"/>
                <w:b w:val="0"/>
                <w:sz w:val="22"/>
              </w:rPr>
              <w:t>Constellation</w:t>
            </w:r>
          </w:p>
        </w:tc>
        <w:tc>
          <w:tcPr>
            <w:tcW w:type="dxa" w:w="2041"/>
          </w:tcPr>
          <w:p>
            <w:pPr>
              <w:spacing w:before="0" w:after="0"/>
              <w:jc w:val="left"/>
            </w:pPr>
            <w:r>
              <w:rPr>
                <w:rFonts w:ascii="Arial" w:hAnsi="Arial"/>
                <w:b w:val="0"/>
                <w:sz w:val="22"/>
              </w:rPr>
              <w:t>Electrical / subsea equipment</w:t>
            </w:r>
          </w:p>
        </w:tc>
        <w:tc>
          <w:tcPr>
            <w:tcW w:type="dxa" w:w="2041"/>
          </w:tcPr>
          <w:p>
            <w:pPr>
              <w:spacing w:before="0" w:after="0"/>
              <w:jc w:val="left"/>
            </w:pPr>
            <w:r>
              <w:rPr>
                <w:rFonts w:ascii="Arial" w:hAnsi="Arial"/>
                <w:b w:val="0"/>
                <w:sz w:val="22"/>
              </w:rPr>
              <w:t>Multi-visit client inspection/FAT activity including electrical verification and formal inspection reporting.</w:t>
            </w:r>
          </w:p>
        </w:tc>
      </w:tr>
      <w:tr>
        <w:tc>
          <w:tcPr>
            <w:tcW w:type="dxa" w:w="2041"/>
          </w:tcPr>
          <w:p>
            <w:pPr>
              <w:spacing w:before="0" w:after="0"/>
              <w:jc w:val="left"/>
            </w:pPr>
            <w:r>
              <w:rPr>
                <w:rFonts w:ascii="Arial" w:hAnsi="Arial"/>
                <w:b w:val="0"/>
                <w:sz w:val="22"/>
              </w:rPr>
              <w:t>Historic</w:t>
            </w:r>
          </w:p>
        </w:tc>
        <w:tc>
          <w:tcPr>
            <w:tcW w:type="dxa" w:w="2041"/>
          </w:tcPr>
          <w:p>
            <w:pPr>
              <w:spacing w:before="0" w:after="0"/>
              <w:jc w:val="left"/>
            </w:pPr>
            <w:r>
              <w:rPr>
                <w:rFonts w:ascii="Arial" w:hAnsi="Arial"/>
                <w:b w:val="0"/>
                <w:sz w:val="22"/>
              </w:rPr>
              <w:t>Tubular Bells</w:t>
            </w:r>
          </w:p>
        </w:tc>
        <w:tc>
          <w:tcPr>
            <w:tcW w:type="dxa" w:w="2041"/>
          </w:tcPr>
          <w:p>
            <w:pPr>
              <w:spacing w:before="0" w:after="0"/>
              <w:jc w:val="left"/>
            </w:pPr>
            <w:r>
              <w:rPr>
                <w:rFonts w:ascii="Arial" w:hAnsi="Arial"/>
                <w:b w:val="0"/>
                <w:sz w:val="22"/>
              </w:rPr>
              <w:t>Weatherford, Great Yarmouth</w:t>
            </w:r>
          </w:p>
        </w:tc>
        <w:tc>
          <w:tcPr>
            <w:tcW w:type="dxa" w:w="2041"/>
          </w:tcPr>
          <w:p>
            <w:pPr>
              <w:spacing w:before="0" w:after="0"/>
              <w:jc w:val="left"/>
            </w:pPr>
            <w:r>
              <w:rPr>
                <w:rFonts w:ascii="Arial" w:hAnsi="Arial"/>
                <w:b w:val="0"/>
                <w:sz w:val="22"/>
              </w:rPr>
              <w:t>SCM / subsea controls</w:t>
            </w:r>
          </w:p>
        </w:tc>
        <w:tc>
          <w:tcPr>
            <w:tcW w:type="dxa" w:w="2041"/>
          </w:tcPr>
          <w:p>
            <w:pPr>
              <w:spacing w:before="0" w:after="0"/>
              <w:jc w:val="left"/>
            </w:pPr>
            <w:r>
              <w:rPr>
                <w:rFonts w:ascii="Arial" w:hAnsi="Arial"/>
                <w:b w:val="0"/>
                <w:sz w:val="22"/>
              </w:rPr>
              <w:t>Inspection and test surveillance, photographic records, documentation review and formal reporting.</w:t>
            </w:r>
          </w:p>
        </w:tc>
      </w:tr>
    </w:tbl>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Vendor Inspection</w:t>
      </w:r>
    </w:p>
    <w:p>
      <w:pPr>
        <w:pStyle w:val="ListBullet"/>
        <w:spacing w:before="0" w:after="0"/>
        <w:ind w:left="720" w:hanging="360"/>
        <w:jc w:val="both"/>
      </w:pPr>
      <w:r>
        <w:rPr>
          <w:rFonts w:ascii="Arial" w:hAnsi="Arial"/>
          <w:b w:val="0"/>
          <w:sz w:val="22"/>
        </w:rPr>
        <w:t>Verification Engineering</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Electrical &amp; E&amp;I Inspection</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Valve Inspection</w:t>
      </w:r>
    </w:p>
    <w:p>
      <w:pPr>
        <w:pStyle w:val="ListBullet"/>
        <w:spacing w:before="0" w:after="0"/>
        <w:ind w:left="720" w:hanging="360"/>
        <w:jc w:val="both"/>
      </w:pPr>
      <w:r>
        <w:rPr>
          <w:rFonts w:ascii="Arial" w:hAnsi="Arial"/>
          <w:b w:val="0"/>
          <w:sz w:val="22"/>
        </w:rPr>
        <w:t>QA/QC Assurance</w:t>
      </w:r>
    </w:p>
    <w:p>
      <w:pPr>
        <w:pStyle w:val="ListBullet"/>
        <w:spacing w:before="0" w:after="0"/>
        <w:ind w:left="720" w:hanging="360"/>
        <w:jc w:val="both"/>
      </w:pPr>
      <w:r>
        <w:rPr>
          <w:rFonts w:ascii="Arial" w:hAnsi="Arial"/>
          <w:b w:val="0"/>
          <w:sz w:val="22"/>
        </w:rPr>
        <w:t>Technical Assurance</w:t>
      </w:r>
    </w:p>
    <w:p>
      <w:pPr>
        <w:pStyle w:val="ListBullet"/>
        <w:spacing w:before="0" w:after="0"/>
        <w:ind w:left="720" w:hanging="360"/>
        <w:jc w:val="both"/>
      </w:pPr>
      <w:r>
        <w:rPr>
          <w:rFonts w:ascii="Arial" w:hAnsi="Arial"/>
          <w:b w:val="0"/>
          <w:sz w:val="22"/>
        </w:rPr>
        <w:t>Client Representation</w:t>
      </w:r>
    </w:p>
    <w:p>
      <w:pPr>
        <w:pStyle w:val="ListBullet"/>
        <w:spacing w:before="0" w:after="0"/>
        <w:ind w:left="720" w:hanging="360"/>
        <w:jc w:val="both"/>
      </w:pPr>
      <w:r>
        <w:rPr>
          <w:rFonts w:ascii="Arial" w:hAnsi="Arial"/>
          <w:b w:val="0"/>
          <w:sz w:val="22"/>
        </w:rPr>
        <w:t>Inspection Management</w:t>
      </w:r>
    </w:p>
    <w:p>
      <w:pPr>
        <w:pStyle w:val="ListBullet"/>
        <w:spacing w:before="0" w:after="0"/>
        <w:ind w:left="720" w:hanging="360"/>
        <w:jc w:val="both"/>
      </w:pPr>
      <w:r>
        <w:rPr>
          <w:rFonts w:ascii="Arial" w:hAnsi="Arial"/>
          <w:b w:val="0"/>
          <w:sz w:val="22"/>
        </w:rPr>
        <w:t>Documentation and Quality Dossier Review</w:t>
      </w:r>
    </w:p>
    <w:p>
      <w:pPr>
        <w:pStyle w:val="ListBullet"/>
        <w:spacing w:before="0" w:after="0"/>
        <w:ind w:left="720" w:hanging="360"/>
        <w:jc w:val="both"/>
      </w:pPr>
      <w:r>
        <w:rPr>
          <w:rFonts w:ascii="Arial" w:hAnsi="Arial"/>
          <w:b w:val="0"/>
          <w:sz w:val="22"/>
        </w:rPr>
        <w:t>ITP and Drawing Review</w:t>
      </w:r>
    </w:p>
    <w:p>
      <w:pPr>
        <w:pStyle w:val="ListBullet"/>
        <w:spacing w:before="0" w:after="0"/>
        <w:ind w:left="720" w:hanging="360"/>
        <w:jc w:val="both"/>
      </w:pPr>
      <w:r>
        <w:rPr>
          <w:rFonts w:ascii="Arial" w:hAnsi="Arial"/>
          <w:b w:val="0"/>
          <w:sz w:val="22"/>
        </w:rPr>
        <w:t>Final Release Certification</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NDT Record Review</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Motors</w:t>
      </w:r>
    </w:p>
    <w:p>
      <w:pPr>
        <w:pStyle w:val="ListBullet"/>
        <w:spacing w:before="0" w:after="0"/>
        <w:ind w:left="720" w:hanging="360"/>
        <w:jc w:val="both"/>
      </w:pPr>
      <w:r>
        <w:rPr>
          <w:rFonts w:ascii="Arial" w:hAnsi="Arial"/>
          <w:b w:val="0"/>
          <w:sz w:val="22"/>
        </w:rPr>
        <w:t>Generators</w:t>
      </w:r>
    </w:p>
    <w:p>
      <w:pPr>
        <w:pStyle w:val="ListBullet"/>
        <w:spacing w:before="0" w:after="0"/>
        <w:ind w:left="720" w:hanging="360"/>
        <w:jc w:val="both"/>
      </w:pPr>
      <w:r>
        <w:rPr>
          <w:rFonts w:ascii="Arial" w:hAnsi="Arial"/>
          <w:b w:val="0"/>
          <w:sz w:val="22"/>
        </w:rPr>
        <w:t>Control Panels</w:t>
      </w:r>
    </w:p>
    <w:p>
      <w:pPr>
        <w:pStyle w:val="ListBullet"/>
        <w:spacing w:before="0" w:after="0"/>
        <w:ind w:left="720" w:hanging="360"/>
        <w:jc w:val="both"/>
      </w:pPr>
      <w:r>
        <w:rPr>
          <w:rFonts w:ascii="Arial" w:hAnsi="Arial"/>
          <w:b w:val="0"/>
          <w:sz w:val="22"/>
        </w:rPr>
        <w:t>MCCs</w:t>
      </w:r>
    </w:p>
    <w:p>
      <w:pPr>
        <w:pStyle w:val="ListBullet"/>
        <w:spacing w:before="0" w:after="0"/>
        <w:ind w:left="720" w:hanging="360"/>
        <w:jc w:val="both"/>
      </w:pPr>
      <w:r>
        <w:rPr>
          <w:rFonts w:ascii="Arial" w:hAnsi="Arial"/>
          <w:b w:val="0"/>
          <w:sz w:val="22"/>
        </w:rPr>
        <w:t>Hazardous-Area Equipment</w:t>
      </w:r>
    </w:p>
    <w:p>
      <w:pPr>
        <w:pStyle w:val="ListBullet"/>
        <w:spacing w:before="0" w:after="0"/>
        <w:ind w:left="720" w:hanging="360"/>
        <w:jc w:val="both"/>
      </w:pPr>
      <w:r>
        <w:rPr>
          <w:rFonts w:ascii="Arial" w:hAnsi="Arial"/>
          <w:b w:val="0"/>
          <w:sz w:val="22"/>
        </w:rPr>
        <w:t>Instrumentation</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Hydraulic Power Units</w:t>
      </w:r>
    </w:p>
    <w:p>
      <w:pPr>
        <w:pStyle w:val="ListBullet"/>
        <w:spacing w:before="0" w:after="0"/>
        <w:ind w:left="720" w:hanging="360"/>
        <w:jc w:val="both"/>
      </w:pPr>
      <w:r>
        <w:rPr>
          <w:rFonts w:ascii="Arial" w:hAnsi="Arial"/>
          <w:b w:val="0"/>
          <w:sz w:val="22"/>
        </w:rPr>
        <w:t>Piping and Fittings</w:t>
      </w:r>
    </w:p>
    <w:p>
      <w:pPr>
        <w:pStyle w:val="ListBullet"/>
        <w:spacing w:before="0" w:after="0"/>
        <w:ind w:left="720" w:hanging="360"/>
        <w:jc w:val="both"/>
      </w:pPr>
      <w:r>
        <w:rPr>
          <w:rFonts w:ascii="Arial" w:hAnsi="Arial"/>
          <w:b w:val="0"/>
          <w:sz w:val="22"/>
        </w:rPr>
        <w:t>Castings and Forgings</w:t>
      </w:r>
    </w:p>
    <w:p>
      <w:pPr>
        <w:pStyle w:val="ListBullet"/>
        <w:spacing w:before="0" w:after="0"/>
        <w:ind w:left="720" w:hanging="360"/>
        <w:jc w:val="both"/>
      </w:pPr>
      <w:r>
        <w:rPr>
          <w:rFonts w:ascii="Arial" w:hAnsi="Arial"/>
          <w:b w:val="0"/>
          <w:sz w:val="22"/>
        </w:rPr>
        <w:t>Subsea Control Systems</w:t>
      </w:r>
    </w:p>
    <w:p>
      <w:pPr>
        <w:pStyle w:val="ListBullet"/>
        <w:spacing w:before="0" w:after="0"/>
        <w:ind w:left="720" w:hanging="360"/>
        <w:jc w:val="both"/>
      </w:pPr>
      <w:r>
        <w:rPr>
          <w:rFonts w:ascii="Arial" w:hAnsi="Arial"/>
          <w:b w:val="0"/>
          <w:sz w:val="22"/>
        </w:rPr>
        <w:t>Subsea Umbilicals</w:t>
      </w:r>
    </w:p>
    <w:p>
      <w:pPr>
        <w:pStyle w:val="ListBullet"/>
        <w:spacing w:before="0" w:after="0"/>
        <w:ind w:left="720" w:hanging="360"/>
        <w:jc w:val="both"/>
      </w:pPr>
      <w:r>
        <w:rPr>
          <w:rFonts w:ascii="Arial" w:hAnsi="Arial"/>
          <w:b w:val="0"/>
          <w:sz w:val="22"/>
        </w:rPr>
        <w:t>Subsea Trees</w:t>
      </w:r>
    </w:p>
    <w:p>
      <w:pPr>
        <w:pStyle w:val="ListBullet"/>
        <w:spacing w:before="0" w:after="0"/>
        <w:ind w:left="720" w:hanging="360"/>
        <w:jc w:val="both"/>
      </w:pPr>
      <w:r>
        <w:rPr>
          <w:rFonts w:ascii="Arial" w:hAnsi="Arial"/>
          <w:b w:val="0"/>
          <w:sz w:val="22"/>
        </w:rPr>
        <w:t>Manifolds and PLETs</w:t>
      </w:r>
    </w:p>
    <w:p>
      <w:pPr>
        <w:pStyle w:val="ListBullet"/>
        <w:spacing w:before="0" w:after="0"/>
        <w:ind w:left="720" w:hanging="360"/>
        <w:jc w:val="both"/>
      </w:pPr>
      <w:r>
        <w:rPr>
          <w:rFonts w:ascii="Arial" w:hAnsi="Arial"/>
          <w:b w:val="0"/>
          <w:sz w:val="22"/>
        </w:rPr>
        <w:t>Drilling Equipment</w:t>
      </w:r>
    </w:p>
    <w:p>
      <w:pPr>
        <w:pStyle w:val="ListBullet"/>
        <w:spacing w:before="0" w:after="0"/>
        <w:ind w:left="720" w:hanging="360"/>
        <w:jc w:val="both"/>
      </w:pPr>
      <w:r>
        <w:rPr>
          <w:rFonts w:ascii="Arial" w:hAnsi="Arial"/>
          <w:b w:val="0"/>
          <w:sz w:val="22"/>
        </w:rPr>
        <w:t>Lifting Equipment</w:t>
      </w:r>
    </w:p>
    <w:p>
      <w:pPr>
        <w:pStyle w:val="ListBullet"/>
        <w:spacing w:before="0" w:after="0"/>
        <w:ind w:left="720" w:hanging="360"/>
        <w:jc w:val="both"/>
      </w:pPr>
      <w:r>
        <w:rPr>
          <w:rFonts w:ascii="Arial" w:hAnsi="Arial"/>
          <w:b w:val="0"/>
          <w:sz w:val="22"/>
        </w:rPr>
        <w:t>Rotating Equipment</w:t>
      </w:r>
    </w:p>
    <w:p>
      <w:pPr>
        <w:pStyle w:val="ListBullet"/>
        <w:spacing w:before="0" w:after="0"/>
        <w:ind w:left="720" w:hanging="360"/>
        <w:jc w:val="both"/>
      </w:pPr>
      <w:r>
        <w:rPr>
          <w:rFonts w:ascii="Arial" w:hAnsi="Arial"/>
          <w:b w:val="0"/>
          <w:sz w:val="22"/>
        </w:rPr>
        <w:t>Marine Loading and Breakaway Systems</w:t>
      </w:r>
    </w:p>
    <w:p>
      <w:pPr>
        <w:pStyle w:val="ListBullet"/>
        <w:spacing w:before="0" w:after="0"/>
        <w:ind w:left="720" w:hanging="360"/>
        <w:jc w:val="both"/>
      </w:pPr>
      <w:r>
        <w:rPr>
          <w:rFonts w:ascii="Arial" w:hAnsi="Arial"/>
          <w:b w:val="0"/>
          <w:sz w:val="22"/>
        </w:rPr>
        <w:t>Electrical Connectors</w:t>
      </w:r>
    </w:p>
    <w:p>
      <w:pPr>
        <w:pStyle w:val="ListBullet"/>
        <w:spacing w:before="0" w:after="0"/>
        <w:ind w:left="720" w:hanging="360"/>
        <w:jc w:val="both"/>
      </w:pPr>
      <w:r>
        <w:rPr>
          <w:rFonts w:ascii="Arial" w:hAnsi="Arial"/>
          <w:b w:val="0"/>
          <w:sz w:val="22"/>
        </w:rPr>
        <w:t>Offshore Structures</w:t>
      </w:r>
    </w:p>
    <w:p>
      <w:pPr>
        <w:pStyle w:val="ListBullet"/>
        <w:spacing w:before="0" w:after="0"/>
        <w:ind w:left="720" w:hanging="360"/>
        <w:jc w:val="both"/>
      </w:pPr>
      <w:r>
        <w:rPr>
          <w:rFonts w:ascii="Arial" w:hAnsi="Arial"/>
          <w:b w:val="0"/>
          <w:sz w:val="22"/>
        </w:rPr>
        <w:t>Diesel Engines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